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485型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果实生长</w:t>
            </w:r>
            <w:r>
              <w:rPr>
                <w:rFonts w:hint="eastAsia"/>
                <w:b/>
                <w:bCs/>
                <w:sz w:val="72"/>
                <w:szCs w:val="72"/>
              </w:rPr>
              <w:t>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</w:rPr>
              <w:t>SJ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447699485"/>
      <w:bookmarkStart w:id="1" w:name="_Toc9570"/>
    </w:p>
    <w:p>
      <w:pPr>
        <w:jc w:val="left"/>
        <w:rPr>
          <w:sz w:val="72"/>
          <w:szCs w:val="72"/>
        </w:rPr>
      </w:pPr>
      <w:r>
        <w:rPr>
          <w:sz w:val="72"/>
          <w:szCs w:val="7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4997450" cy="7346950"/>
            <wp:effectExtent l="0" t="0" r="0" b="0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6800" cy="73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p>
      <w:pPr>
        <w:pStyle w:val="2"/>
      </w:pPr>
      <w:r>
        <w:t>产品简介</w:t>
      </w:r>
      <w:bookmarkEnd w:id="0"/>
      <w:bookmarkEnd w:id="1"/>
    </w:p>
    <w:p>
      <w:pPr>
        <w:pStyle w:val="3"/>
      </w:pPr>
      <w:bookmarkStart w:id="2" w:name="_Toc447699486"/>
      <w:bookmarkStart w:id="3" w:name="_Toc9769"/>
      <w:r>
        <w:t>产品概述</w:t>
      </w:r>
      <w:bookmarkEnd w:id="2"/>
      <w:bookmarkEnd w:id="3"/>
    </w:p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leftChars="0" w:firstLine="498" w:firstLineChars="200"/>
        <w:textAlignment w:val="auto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bookmarkStart w:id="4" w:name="_Toc447699487"/>
      <w:bookmarkStart w:id="5" w:name="_Toc27250"/>
      <w:r>
        <w:rPr>
          <w:rFonts w:hint="eastAsia" w:eastAsia="宋体" w:cs="Times New Roman"/>
          <w:kern w:val="2"/>
          <w:sz w:val="24"/>
          <w:szCs w:val="22"/>
          <w:lang w:val="en-US" w:eastAsia="zh-CN" w:bidi="ar-SA"/>
        </w:rPr>
        <w:t>果实生长传感器测量原理利用位移传感器移动的距离，来测量植物果实或植物根茎的生长长度，可连接传输设备，远程实时查看植物根茎生长数据，可随时随地查看数据。</w:t>
      </w:r>
    </w:p>
    <w:p>
      <w:pPr>
        <w:pStyle w:val="3"/>
      </w:pPr>
      <w:r>
        <w:t>功能特点</w:t>
      </w:r>
      <w:bookmarkEnd w:id="4"/>
      <w:bookmarkEnd w:id="5"/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果实生长传感器是一种高精度位移增量传感器，通过位移传感器测量果实的碰撞速度，位移传感器记录了完整果实的生长尺寸</w:t>
      </w:r>
      <w:r>
        <w:rPr>
          <w:rFonts w:hint="eastAsia"/>
        </w:rPr>
        <w:t>。</w:t>
      </w:r>
    </w:p>
    <w:p>
      <w:pPr>
        <w:pStyle w:val="4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多种规格传感器，适合直径2~150mm大小的植物</w:t>
      </w:r>
    </w:p>
    <w:p>
      <w:pPr>
        <w:pStyle w:val="4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在植物科学试验和国家示范项目应用广泛</w:t>
      </w:r>
    </w:p>
    <w:p>
      <w:pPr>
        <w:pStyle w:val="4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适合测量各种植物果实且对植物无伤害</w:t>
      </w:r>
    </w:p>
    <w:p>
      <w:pPr>
        <w:pStyle w:val="4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可对测量植物进行多点测量</w:t>
      </w:r>
    </w:p>
    <w:p>
      <w:pPr>
        <w:pStyle w:val="4"/>
        <w:numPr>
          <w:ilvl w:val="0"/>
          <w:numId w:val="2"/>
        </w:numPr>
        <w:ind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支持数据存储记录功能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bookmarkStart w:id="6" w:name="_Toc28848"/>
      <w:r>
        <w:t>主要参数</w:t>
      </w:r>
      <w:bookmarkEnd w:id="6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rPr>
          <w:rFonts w:hint="eastAsia"/>
          <w:lang w:val="en-US" w:eastAsia="zh-CN"/>
        </w:rPr>
        <w:t>基本参数</w:t>
      </w:r>
    </w:p>
    <w:tbl>
      <w:tblPr>
        <w:tblStyle w:val="38"/>
        <w:tblW w:w="6595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3685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bottom w:val="single" w:color="auto" w:sz="12" w:space="0"/>
            </w:tcBorders>
            <w:shd w:val="clear" w:color="auto" w:fill="auto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参数名称</w:t>
            </w:r>
          </w:p>
        </w:tc>
        <w:tc>
          <w:tcPr>
            <w:tcW w:w="3685" w:type="dxa"/>
            <w:tcBorders>
              <w:bottom w:val="single" w:color="auto" w:sz="12" w:space="0"/>
            </w:tcBorders>
            <w:shd w:val="clear" w:color="auto" w:fill="auto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参数内容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10" w:type="dxa"/>
            <w:tcBorders>
              <w:top w:val="single" w:color="auto" w:sz="12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直流供电</w:t>
            </w:r>
          </w:p>
        </w:tc>
        <w:tc>
          <w:tcPr>
            <w:tcW w:w="3685" w:type="dxa"/>
            <w:tcBorders>
              <w:top w:val="single" w:color="auto" w:sz="12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10VDC/2-5K</w:t>
            </w:r>
            <w:r>
              <w:rPr>
                <w:rFonts w:hint="default" w:ascii="Times New Roman" w:hAnsi="Times New Roman" w:cs="Times New Roman"/>
                <w:color w:val="000000"/>
                <w:lang w:val="en-US" w:eastAsia="zh-CN"/>
              </w:rPr>
              <w:t>Ω</w:t>
            </w:r>
            <w:r>
              <w:rPr>
                <w:rFonts w:hint="eastAsia" w:cs="Times New Roman"/>
                <w:color w:val="000000"/>
                <w:lang w:val="en-US" w:eastAsia="zh-CN"/>
              </w:rPr>
              <w:t xml:space="preserve"> DC5V/1K</w:t>
            </w:r>
            <w:r>
              <w:rPr>
                <w:rFonts w:hint="default" w:ascii="Times New Roman" w:hAnsi="Times New Roman" w:cs="Times New Roman"/>
                <w:color w:val="000000"/>
                <w:lang w:val="en-US" w:eastAsia="zh-CN"/>
              </w:rPr>
              <w:t>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输出信号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RS485输出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</w:tcPr>
          <w:p>
            <w:pPr>
              <w:rPr>
                <w:rFonts w:hint="eastAsia" w:eastAsia="宋体"/>
                <w:b/>
                <w:color w:val="000000"/>
                <w:lang w:val="en-US" w:eastAsia="zh-CN"/>
              </w:rPr>
            </w:pPr>
            <w:r>
              <w:rPr>
                <w:rFonts w:hint="eastAsia"/>
                <w:b/>
                <w:color w:val="000000"/>
              </w:rPr>
              <w:t>工作环境</w:t>
            </w:r>
            <w:r>
              <w:rPr>
                <w:rFonts w:hint="eastAsia"/>
                <w:b/>
                <w:color w:val="000000"/>
                <w:lang w:val="en-US" w:eastAsia="zh-CN"/>
              </w:rPr>
              <w:t>温度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rFonts w:hint="eastAsia"/>
                <w:color w:val="000000"/>
                <w:lang w:val="en-US" w:eastAsia="zh-CN"/>
              </w:rPr>
              <w:t>20</w:t>
            </w:r>
            <w:r>
              <w:rPr>
                <w:color w:val="000000"/>
              </w:rPr>
              <w:t>°C</w:t>
            </w:r>
            <w:r>
              <w:rPr>
                <w:rFonts w:hint="eastAsia"/>
                <w:color w:val="000000"/>
                <w:lang w:val="en-US" w:eastAsia="zh-CN"/>
              </w:rPr>
              <w:t>~12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°C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</w:tcPr>
          <w:p>
            <w:pPr>
              <w:rPr>
                <w:rFonts w:hint="eastAsia" w:eastAsia="宋体"/>
                <w:b/>
                <w:color w:val="000000"/>
                <w:lang w:val="en-US" w:eastAsia="zh-CN"/>
              </w:rPr>
            </w:pPr>
            <w:r>
              <w:rPr>
                <w:rFonts w:hint="eastAsia"/>
                <w:b/>
                <w:color w:val="000000"/>
              </w:rPr>
              <w:t>工作环境</w:t>
            </w:r>
            <w:r>
              <w:rPr>
                <w:rFonts w:hint="eastAsia"/>
                <w:b/>
                <w:color w:val="000000"/>
                <w:lang w:val="en-US" w:eastAsia="zh-CN"/>
              </w:rPr>
              <w:t>湿度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</w:tcPr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≤90%RH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ascii="Times New Roman" w:hAnsi="Times New Roman" w:eastAsia="宋体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量程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lang w:val="en-US" w:eastAsia="zh-CN" w:bidi="ar-SA"/>
              </w:rPr>
              <w:t>0-20mm/0-50mm/0-150mm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分辨率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lang w:val="en-US" w:eastAsia="zh-CN" w:bidi="ar-SA"/>
              </w:rPr>
              <w:t>1mm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寿命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lang w:val="en-US" w:eastAsia="zh-CN" w:bidi="ar-SA"/>
              </w:rPr>
              <w:t>&gt;100*106次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线性精度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lang w:val="en-US" w:eastAsia="zh-CN" w:bidi="ar-SA"/>
              </w:rPr>
              <w:t>±0.3%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ascii="Times New Roman" w:hAnsi="Times New Roman" w:eastAsia="宋体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阻值误差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±10%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重复精度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0.01mm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操作速度上限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3m/s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温漂系数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1.5ppm/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℃</w:t>
            </w:r>
          </w:p>
        </w:tc>
      </w:tr>
    </w:tbl>
    <w:p>
      <w:pPr>
        <w:pStyle w:val="4"/>
        <w:spacing w:line="320" w:lineRule="exact"/>
        <w:rPr>
          <w:rFonts w:hint="default" w:hAnsi="宋体" w:eastAsia="宋体"/>
          <w:szCs w:val="24"/>
          <w:lang w:val="en-US" w:eastAsia="zh-CN"/>
        </w:rPr>
      </w:pPr>
    </w:p>
    <w:p>
      <w:pPr>
        <w:pStyle w:val="3"/>
      </w:pPr>
      <w:bookmarkStart w:id="7" w:name="_Toc14200"/>
      <w:r>
        <w:t>系统框架图</w:t>
      </w:r>
      <w:bookmarkEnd w:id="7"/>
    </w:p>
    <w:p>
      <w:pPr>
        <w:ind w:firstLine="576"/>
      </w:pPr>
      <w:r>
        <w:rPr>
          <w:rFonts w:hint="eastAsia"/>
        </w:rPr>
        <w:t>本传感器可以连接单独使用，首先使用12V直流电源供电，设备可以直接连接带有485接口的PLC，可以通过485接口芯片连接单片机。通过后文指定的modbus协议对单片机和PLC进行编程即可配合传感器使用。同时使用USB转485即可与电脑连接，使用我公司提供的传感器配置工具进行配置和测试。</w:t>
      </w:r>
    </w:p>
    <w:p>
      <w:pPr>
        <w:jc w:val="center"/>
        <w:rPr>
          <w:color w:val="FF0000"/>
        </w:rPr>
      </w:pPr>
      <w:r>
        <w:rPr>
          <w:color w:val="FF0000"/>
        </w:rPr>
        <w:drawing>
          <wp:inline distT="0" distB="0" distL="114300" distR="114300">
            <wp:extent cx="4043680" cy="3217545"/>
            <wp:effectExtent l="0" t="0" r="13970" b="1905"/>
            <wp:docPr id="3" name="图片 1" descr="lADPBbCc1W3EZMXNBYLNBuw_1772_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lADPBbCc1W3EZMXNBYLNBuw_1772_1410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3680" cy="32175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</w:pPr>
      <w:r>
        <w:rPr>
          <w:rFonts w:hint="eastAsia"/>
        </w:rPr>
        <w:t>本产品也可以多个传感器组合在一条485总线使用。理论上一条总线可以接16个以上的485传感器，如果需要接更多的485传感器，可以使用485中继器扩充更多的485设备，另一端接入带有485接口的PLC、通过485接口芯片连接单片机，或者使用USB转485即可与电脑连接，使用我公司提供的传感器配置工具进行配置和测试。</w:t>
      </w:r>
    </w:p>
    <w:p>
      <w:pPr>
        <w:jc w:val="center"/>
      </w:pPr>
      <w:r>
        <w:rPr>
          <w:rFonts w:hint="eastAsia"/>
          <w:color w:val="FF0000"/>
        </w:rPr>
        <w:drawing>
          <wp:inline distT="0" distB="0" distL="114300" distR="114300">
            <wp:extent cx="2542540" cy="3383280"/>
            <wp:effectExtent l="0" t="0" r="10160" b="762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42540" cy="3383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8" w:name="_Toc4148"/>
      <w:bookmarkEnd w:id="8"/>
      <w:r>
        <w:t>硬件连接</w:t>
      </w:r>
    </w:p>
    <w:p>
      <w:pPr>
        <w:pStyle w:val="3"/>
      </w:pPr>
      <w:bookmarkStart w:id="9" w:name="_Toc20338"/>
      <w:r>
        <w:t>设备安装前检查</w:t>
      </w:r>
      <w:bookmarkEnd w:id="9"/>
    </w:p>
    <w:p>
      <w:pPr>
        <w:ind w:firstLine="480" w:firstLineChars="193"/>
        <w:jc w:val="left"/>
      </w:pPr>
      <w:r>
        <w:rPr>
          <w:rFonts w:hint="eastAsia" w:ascii="宋体" w:hAnsi="宋体"/>
        </w:rPr>
        <w:t>安装设备前请检查设备清单：</w:t>
      </w:r>
    </w:p>
    <w:tbl>
      <w:tblPr>
        <w:tblStyle w:val="38"/>
        <w:tblW w:w="4536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bottom w:val="single" w:color="auto" w:sz="12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名称</w:t>
            </w:r>
          </w:p>
        </w:tc>
        <w:tc>
          <w:tcPr>
            <w:tcW w:w="2195" w:type="dxa"/>
            <w:tcBorders>
              <w:bottom w:val="single" w:color="auto" w:sz="12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数量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12" w:space="0"/>
            </w:tcBorders>
            <w:shd w:val="pct25" w:color="auto" w:fill="CCCCCC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高精度传感器</w:t>
            </w:r>
          </w:p>
        </w:tc>
        <w:tc>
          <w:tcPr>
            <w:tcW w:w="2195" w:type="dxa"/>
            <w:tcBorders>
              <w:top w:val="single" w:color="auto" w:sz="12" w:space="0"/>
            </w:tcBorders>
            <w:shd w:val="pct25" w:color="auto" w:fill="CCCCCC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12V防水电源</w:t>
            </w:r>
          </w:p>
        </w:tc>
        <w:tc>
          <w:tcPr>
            <w:tcW w:w="2195" w:type="dxa"/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1台（选配）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pct25" w:color="auto" w:fill="CCCCCC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USB转485</w:t>
            </w:r>
            <w:r>
              <w:rPr>
                <w:rFonts w:hint="eastAsia"/>
                <w:b/>
                <w:color w:val="000000"/>
              </w:rPr>
              <w:t>设备</w:t>
            </w:r>
          </w:p>
        </w:tc>
        <w:tc>
          <w:tcPr>
            <w:tcW w:w="2195" w:type="dxa"/>
            <w:shd w:val="pct25" w:color="auto" w:fill="CCCCCC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1台（选配）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保修卡</w:t>
            </w:r>
            <w:r>
              <w:rPr>
                <w:rFonts w:hint="eastAsia"/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合格证</w:t>
            </w:r>
          </w:p>
        </w:tc>
        <w:tc>
          <w:tcPr>
            <w:tcW w:w="2195" w:type="dxa"/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1份</w:t>
            </w:r>
          </w:p>
        </w:tc>
      </w:tr>
    </w:tbl>
    <w:p>
      <w:pPr>
        <w:pStyle w:val="3"/>
      </w:pPr>
      <w:bookmarkStart w:id="10" w:name="_Toc31335"/>
      <w:r>
        <w:t>接口说明</w:t>
      </w:r>
      <w:bookmarkEnd w:id="10"/>
    </w:p>
    <w:p>
      <w:pPr>
        <w:ind w:firstLine="487" w:firstLineChars="196"/>
        <w:rPr>
          <w:color w:val="FF0000"/>
        </w:rPr>
      </w:pPr>
      <w:r>
        <w:rPr>
          <w:rFonts w:hint="eastAsia"/>
        </w:rPr>
        <w:t>电源接口为</w:t>
      </w:r>
      <w:r>
        <w:t>宽电压电源输入 1</w:t>
      </w:r>
      <w:r>
        <w:rPr>
          <w:rFonts w:hint="eastAsia"/>
        </w:rPr>
        <w:t>2</w:t>
      </w:r>
      <w:r>
        <w:t>-</w:t>
      </w:r>
      <w:r>
        <w:rPr>
          <w:rFonts w:hint="eastAsia"/>
        </w:rPr>
        <w:t>24</w:t>
      </w:r>
      <w:r>
        <w:t>V 均可。485 信号线接线时注意 A</w:t>
      </w:r>
      <w:r>
        <w:rPr>
          <w:rFonts w:hint="eastAsia"/>
        </w:rPr>
        <w:t>/</w:t>
      </w:r>
      <w:r>
        <w:t>B 两条线不能接反，总线上多台设备间地址不能冲突。</w:t>
      </w:r>
    </w:p>
    <w:p>
      <w:pPr>
        <w:ind w:firstLine="487" w:firstLineChars="196"/>
        <w:jc w:val="center"/>
      </w:pPr>
      <w:r>
        <w:drawing>
          <wp:inline distT="0" distB="0" distL="114300" distR="114300">
            <wp:extent cx="2394585" cy="2395220"/>
            <wp:effectExtent l="0" t="0" r="5715" b="5080"/>
            <wp:docPr id="12" name="图片 1" descr="C:\Users\Administrator\Desktop\O1CN01cH4Pxo1dNdbU6rmtO_!!860943724.jpgO1CN01cH4Pxo1dNdbU6rmtO_!!860943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 descr="C:\Users\Administrator\Desktop\O1CN01cH4Pxo1dNdbU6rmtO_!!860943724.jpgO1CN01cH4Pxo1dNdbU6rmtO_!!860943724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4585" cy="239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37"/>
        <w:tblW w:w="4244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715"/>
        <w:gridCol w:w="256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线色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restart"/>
            <w:shd w:val="clear" w:color="auto" w:fill="auto"/>
          </w:tcPr>
          <w:p>
            <w:r>
              <w:rPr>
                <w:rFonts w:hint="eastAsia"/>
              </w:rPr>
              <w:t>电源</w:t>
            </w:r>
          </w:p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棕色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电源正（12-24VDC）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continue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黑色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电源负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restart"/>
            <w:shd w:val="clear" w:color="auto" w:fill="auto"/>
          </w:tcPr>
          <w:p>
            <w:r>
              <w:rPr>
                <w:rFonts w:hint="eastAsia"/>
              </w:rPr>
              <w:t>通信</w:t>
            </w:r>
          </w:p>
        </w:tc>
        <w:tc>
          <w:tcPr>
            <w:tcW w:w="715" w:type="dxa"/>
            <w:shd w:val="clear" w:color="auto" w:fill="auto"/>
          </w:tcPr>
          <w:p>
            <w:r>
              <w:rPr>
                <w:rFonts w:hint="eastAsia" w:ascii="宋体" w:hAnsi="宋体" w:cs="宋体"/>
                <w:szCs w:val="24"/>
              </w:rPr>
              <w:t>黄色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485-A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964" w:type="dxa"/>
            <w:vMerge w:val="continue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蓝色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485-B</w:t>
            </w:r>
          </w:p>
        </w:tc>
      </w:tr>
    </w:tbl>
    <w:p>
      <w:pPr>
        <w:pStyle w:val="4"/>
      </w:pPr>
      <w:r>
        <w:rPr>
          <w:rFonts w:hint="eastAsia"/>
        </w:rPr>
        <w:t>注意事项：请注意不要接错线序，错误的接线会导致设备烧毁。</w:t>
      </w:r>
      <w:r>
        <w:rPr>
          <w:rFonts w:hint="eastAsia"/>
        </w:rPr>
        <w:tab/>
      </w:r>
    </w:p>
    <w:p>
      <w:pPr>
        <w:pStyle w:val="4"/>
      </w:pPr>
      <w:r>
        <w:rPr>
          <w:rFonts w:hint="eastAsia"/>
        </w:rPr>
        <w:t>开关量的功率较小，如果您需要接功率器件，请接中间继电器，详情请参见附加说明书。</w:t>
      </w:r>
    </w:p>
    <w:p>
      <w:r>
        <w:rPr>
          <w:rFonts w:hint="eastAsia"/>
        </w:rPr>
        <w:tab/>
      </w:r>
      <w:r>
        <w:rPr>
          <w:rFonts w:hint="eastAsia"/>
        </w:rPr>
        <w:t>出厂默认提供0.6米长线材 ，客户可根据需要按需延长线材或者顺次接线。</w:t>
      </w:r>
    </w:p>
    <w:p>
      <w:r>
        <w:rPr>
          <w:rFonts w:hint="eastAsia"/>
        </w:rPr>
        <w:tab/>
      </w:r>
      <w:bookmarkStart w:id="11" w:name="OLE_LINK32"/>
      <w:bookmarkStart w:id="12" w:name="OLE_LINK30"/>
      <w:bookmarkStart w:id="13" w:name="OLE_LINK31"/>
      <w:r>
        <w:rPr>
          <w:rFonts w:hint="eastAsia"/>
        </w:rPr>
        <w:t>注意在某些出厂批次中可能提供的线序中没有黄色线，此时灰色线等价替换黄色线作用。</w:t>
      </w:r>
      <w:bookmarkEnd w:id="11"/>
      <w:bookmarkEnd w:id="12"/>
      <w:bookmarkEnd w:id="13"/>
    </w:p>
    <w:p>
      <w:pPr>
        <w:pStyle w:val="3"/>
      </w:pPr>
      <w:r>
        <w:t>安装事宜</w:t>
      </w:r>
    </w:p>
    <w:p>
      <w:pPr>
        <w:spacing w:line="320" w:lineRule="exact"/>
        <w:ind w:firstLine="498" w:firstLineChars="200"/>
        <w:rPr>
          <w:color w:val="000000"/>
        </w:rPr>
      </w:pPr>
      <w:bookmarkStart w:id="14" w:name="_Toc550"/>
      <w:r>
        <w:rPr>
          <w:rFonts w:hint="eastAsia"/>
          <w:color w:val="000000"/>
        </w:rPr>
        <w:t>需将传感器安置在避风避雨的环境中，</w:t>
      </w:r>
      <w:r>
        <w:rPr>
          <w:color w:val="000000"/>
        </w:rPr>
        <w:t>90</w:t>
      </w:r>
      <w:r>
        <w:rPr>
          <w:rFonts w:hint="eastAsia"/>
          <w:color w:val="000000"/>
        </w:rPr>
        <w:t>度垂直于地面壁挂。</w:t>
      </w:r>
    </w:p>
    <w:p>
      <w:pPr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3901440" cy="1478280"/>
            <wp:effectExtent l="0" t="0" r="0" b="0"/>
            <wp:docPr id="1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  <w:rPr>
          <w:color w:val="000000"/>
        </w:rPr>
      </w:pPr>
      <w:r>
        <w:rPr>
          <w:rFonts w:hint="eastAsia"/>
          <w:color w:val="000000"/>
        </w:rPr>
        <w:t>壁挂王子壳为壁挂式安装，安装孔位于设备两侧中部位置，安装孔径小于</w:t>
      </w:r>
      <w:r>
        <w:rPr>
          <w:color w:val="000000"/>
        </w:rPr>
        <w:t>4mm</w:t>
      </w:r>
      <w:r>
        <w:rPr>
          <w:rFonts w:hint="eastAsia"/>
          <w:color w:val="000000"/>
        </w:rPr>
        <w:t>，孔距</w:t>
      </w:r>
      <w:r>
        <w:rPr>
          <w:color w:val="000000"/>
        </w:rPr>
        <w:t>105mm</w:t>
      </w:r>
      <w:r>
        <w:rPr>
          <w:rFonts w:hint="eastAsia"/>
          <w:color w:val="000000"/>
        </w:rPr>
        <w:t>，可使用</w:t>
      </w:r>
      <w:r>
        <w:rPr>
          <w:color w:val="000000"/>
        </w:rPr>
        <w:t>3mm</w:t>
      </w:r>
      <w:r>
        <w:rPr>
          <w:rFonts w:hint="eastAsia"/>
          <w:color w:val="000000"/>
        </w:rPr>
        <w:t>的自攻螺丝安装</w:t>
      </w:r>
    </w:p>
    <w:p>
      <w:pPr>
        <w:rPr>
          <w:color w:val="000000"/>
        </w:rPr>
      </w:pPr>
      <w:r>
        <w:rPr>
          <w:color w:val="000000"/>
        </w:rPr>
        <w:tab/>
      </w:r>
      <w:r>
        <w:rPr>
          <w:rFonts w:hint="eastAsia"/>
        </w:rPr>
        <w:t>本产品主要用来测量漏水情况，因此可以传感器主体壁挂安装在0</w:t>
      </w:r>
      <w:r>
        <w:t>.3-0.5</w:t>
      </w:r>
      <w:r>
        <w:rPr>
          <w:rFonts w:hint="eastAsia"/>
        </w:rPr>
        <w:t>m的高度，将漏水检测线下垂并放置在地势低洼处用来检测漏水。</w:t>
      </w:r>
    </w:p>
    <w:bookmarkEnd w:id="14"/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配置软件安装和使用</w:t>
      </w:r>
    </w:p>
    <w:p>
      <w:pPr>
        <w:pStyle w:val="4"/>
        <w:rPr>
          <w:rFonts w:hint="eastAsia"/>
        </w:rPr>
      </w:pPr>
      <w:r>
        <w:rPr>
          <w:rFonts w:hint="eastAsia"/>
          <w:lang w:val="en-US" w:eastAsia="zh-CN"/>
        </w:rPr>
        <w:t>我司提供配套的“传感器监控软件”，可以方便的使用电脑读取传感器的参数，同时灵活的修改传感器的设备ID和地址。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传感器接入电脑</w:t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/>
          <w:lang w:val="en-US" w:eastAsia="zh-CN"/>
        </w:rPr>
        <w:t>将传感器通过USB转485正确的连接电脑并提供供电后，可以在电脑中看到正确的COM口（“我的电脑—属性—设备管理器—端口”里面查看 COM 端口）。</w:t>
      </w:r>
    </w:p>
    <w:p>
      <w:pPr>
        <w:pStyle w:val="4"/>
        <w:ind w:firstLine="0" w:firstLineChars="0"/>
        <w:jc w:val="center"/>
        <w:rPr>
          <w:rFonts w:hint="eastAsia"/>
        </w:rPr>
      </w:pPr>
      <w:r>
        <w:drawing>
          <wp:inline distT="0" distB="0" distL="114300" distR="114300">
            <wp:extent cx="2657475" cy="1652270"/>
            <wp:effectExtent l="0" t="0" r="9525" b="508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如上图所示，此时您的串口号为COM10，请记住这个串口，需要在传感器监控软件中填入这个串口号。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  <w:lang w:eastAsia="zh-CN"/>
        </w:rPr>
        <w:t>如果在设备管理器中没有发现COM口，则意味您没有插入USB转485或者没有正确安装驱动，请联系技术人员取得帮助。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传感器监控软件使用</w:t>
      </w:r>
    </w:p>
    <w:p>
      <w:pPr>
        <w:pStyle w:val="4"/>
        <w:spacing w:line="320" w:lineRule="exact"/>
        <w:ind w:left="498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软件界面如图所示：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drawing>
          <wp:inline distT="0" distB="0" distL="114300" distR="114300">
            <wp:extent cx="2388870" cy="1791970"/>
            <wp:effectExtent l="0" t="0" r="11430" b="17780"/>
            <wp:docPr id="10" name="图片 5" descr="上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 descr="上位机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val="en-US" w:eastAsia="zh-CN"/>
        </w:rPr>
        <w:t>打开软件后，首先选择软件顶端“传感器类型”，再根据</w:t>
      </w:r>
      <w:r>
        <w:rPr>
          <w:rFonts w:hint="eastAsia" w:ascii="宋体" w:hAnsi="宋体" w:cs="宋体"/>
          <w:b/>
        </w:rPr>
        <w:t>3.1</w:t>
      </w:r>
      <w:r>
        <w:rPr>
          <w:rFonts w:hint="eastAsia" w:ascii="宋体" w:hAnsi="宋体" w:cs="宋体"/>
          <w:b/>
          <w:lang w:val="en-US" w:eastAsia="zh-CN"/>
        </w:rPr>
        <w:t>章节</w:t>
      </w:r>
      <w:r>
        <w:rPr>
          <w:rFonts w:hint="eastAsia" w:ascii="宋体" w:hAnsi="宋体" w:cs="宋体"/>
          <w:lang w:val="en-US" w:eastAsia="zh-CN"/>
        </w:rPr>
        <w:t>的方法获取到串口号并选择正确的串口，然后单击“自动获取当前波特率和地址”即可自动探测到当前485总线上的所有设备和波特率。请注意，使用软件自动获取时需要保证485总线上只有一个传感器。</w:t>
      </w:r>
      <w:r>
        <w:rPr>
          <w:rFonts w:hint="eastAsia"/>
          <w:lang w:eastAsia="zh-CN"/>
        </w:rPr>
        <w:t>然后单击“连接设备”后即可实时获取传感器数据信息。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修改波特率和设备地址</w:t>
      </w:r>
    </w:p>
    <w:p>
      <w:pPr>
        <w:pStyle w:val="4"/>
      </w:pPr>
      <w:r>
        <w:rPr>
          <w:rFonts w:hint="eastAsia" w:ascii="宋体" w:hAnsi="宋体" w:cs="宋体"/>
          <w:lang w:val="en-US" w:eastAsia="zh-CN"/>
        </w:rPr>
        <w:t>在断开“设备连接”的情况下，点击“配置传感器通信参数”中“修改波特率和修改从站号”即可完成相关的设置，请注意设置过后请重启设备，然后“自动获取当前的波特率和地址”后可以发现地址和波特率已经改成您需要的地址和波特率</w:t>
      </w:r>
      <w:r>
        <w:rPr>
          <w:rFonts w:hint="eastAsia" w:ascii="宋体" w:hAnsi="宋体" w:cs="宋体"/>
        </w:rPr>
        <w:t>。</w:t>
      </w:r>
    </w:p>
    <w:p>
      <w:pPr>
        <w:pStyle w:val="2"/>
      </w:pPr>
      <w:r>
        <w:t>通信协议</w:t>
      </w:r>
    </w:p>
    <w:p>
      <w:pPr>
        <w:pStyle w:val="3"/>
      </w:pPr>
      <w:r>
        <w:t>通讯基本参数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数据位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奇偶校验位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停止位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错误校准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波特率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4800bps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9600bp</w:t>
            </w:r>
            <w:r>
              <w:rPr>
                <w:rFonts w:hint="eastAsia"/>
                <w:color w:val="000000"/>
              </w:rPr>
              <w:t>s</w:t>
            </w:r>
            <w:r>
              <w:rPr>
                <w:color w:val="000000"/>
              </w:rPr>
              <w:t>可设，出厂默认为9600bps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 位二进制</w:t>
            </w:r>
          </w:p>
        </w:tc>
      </w:tr>
    </w:tbl>
    <w:p>
      <w:pPr>
        <w:pStyle w:val="3"/>
      </w:pPr>
      <w:r>
        <w:t>数据帧格式定义</w:t>
      </w:r>
    </w:p>
    <w:p>
      <w:pPr>
        <w:pStyle w:val="4"/>
      </w:pPr>
      <w:r>
        <w:t>采用 Modbus-RTU 通讯规约，格式如下：</w:t>
      </w:r>
    </w:p>
    <w:p>
      <w:pPr>
        <w:pStyle w:val="4"/>
      </w:pPr>
      <w:r>
        <w:t>初始结构≥4字节的时间</w:t>
      </w:r>
    </w:p>
    <w:p>
      <w:pPr>
        <w:pStyle w:val="4"/>
      </w:pPr>
      <w:r>
        <w:t>地址码= 1字节</w:t>
      </w:r>
    </w:p>
    <w:p>
      <w:pPr>
        <w:pStyle w:val="4"/>
      </w:pPr>
      <w:r>
        <w:t>功能码= 1字节</w:t>
      </w:r>
    </w:p>
    <w:p>
      <w:pPr>
        <w:pStyle w:val="4"/>
      </w:pPr>
      <w:r>
        <w:t>数据区= N字节</w:t>
      </w:r>
    </w:p>
    <w:p>
      <w:pPr>
        <w:pStyle w:val="4"/>
      </w:pPr>
      <w:r>
        <w:t>错误校验= 16位 CRC 码</w:t>
      </w:r>
    </w:p>
    <w:p>
      <w:pPr>
        <w:pStyle w:val="4"/>
      </w:pPr>
      <w:r>
        <w:t>结束结构≥4字节的时间</w:t>
      </w:r>
    </w:p>
    <w:p>
      <w:pPr>
        <w:pStyle w:val="4"/>
      </w:pPr>
      <w:r>
        <w:t>地址码：为变送器的功能指示，本变送器只用到功能码 0x03（读取寄存器数据）。</w:t>
      </w:r>
    </w:p>
    <w:p>
      <w:pPr>
        <w:pStyle w:val="4"/>
      </w:pPr>
      <w:r>
        <w:t>数据区：数据区是具体地址，在通讯网络中是唯一的（出厂默认0x01）。</w:t>
      </w:r>
    </w:p>
    <w:p>
      <w:pPr>
        <w:pStyle w:val="4"/>
      </w:pPr>
      <w:r>
        <w:t>功能码：主机所发指令通讯数据，注意 16bits 数据高字节在前！</w:t>
      </w:r>
    </w:p>
    <w:p>
      <w:pPr>
        <w:pStyle w:val="4"/>
      </w:pPr>
      <w:r>
        <w:t>CRC 码：二字节的校验码。</w:t>
      </w:r>
    </w:p>
    <w:p>
      <w:pPr>
        <w:pStyle w:val="4"/>
      </w:pPr>
      <w:r>
        <w:t>问询帧</w:t>
      </w:r>
    </w:p>
    <w:tbl>
      <w:tblPr>
        <w:tblStyle w:val="37"/>
        <w:tblW w:w="666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低位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jc w:val="center"/>
            </w:pPr>
            <w:r>
              <w:t>寄存器</w:t>
            </w:r>
          </w:p>
          <w:p>
            <w:pPr>
              <w:jc w:val="center"/>
            </w:pPr>
            <w:r>
              <w:t>起始地址</w:t>
            </w:r>
          </w:p>
        </w:tc>
        <w:tc>
          <w:tcPr>
            <w:tcW w:w="1462" w:type="dxa"/>
            <w:shd w:val="clear" w:color="auto" w:fill="auto"/>
            <w:vAlign w:val="center"/>
          </w:tcPr>
          <w:p>
            <w:pPr>
              <w:jc w:val="center"/>
            </w:pPr>
            <w:r>
              <w:t>寄存器长度</w:t>
            </w:r>
          </w:p>
        </w:tc>
        <w:tc>
          <w:tcPr>
            <w:tcW w:w="1096" w:type="dxa"/>
            <w:shd w:val="clear" w:color="auto" w:fill="auto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462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6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</w:tr>
    </w:tbl>
    <w:p>
      <w:pPr>
        <w:pStyle w:val="4"/>
      </w:pPr>
      <w:r>
        <w:t>应答帧</w:t>
      </w:r>
    </w:p>
    <w:tbl>
      <w:tblPr>
        <w:tblStyle w:val="37"/>
        <w:tblW w:w="6663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297" w:type="dxa"/>
            <w:shd w:val="clear" w:color="auto" w:fill="auto"/>
            <w:vAlign w:val="center"/>
          </w:tcPr>
          <w:p>
            <w:pPr>
              <w:jc w:val="center"/>
            </w:pPr>
            <w:r>
              <w:t>有效字节数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第一</w:t>
            </w:r>
          </w:p>
          <w:p>
            <w:pPr>
              <w:jc w:val="center"/>
            </w:pPr>
            <w:r>
              <w:t>数据区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第二</w:t>
            </w:r>
          </w:p>
          <w:p>
            <w:pPr>
              <w:jc w:val="center"/>
            </w:pPr>
            <w:r>
              <w:t>数据区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center"/>
            </w:pPr>
            <w:r>
              <w:t>第N</w:t>
            </w:r>
          </w:p>
          <w:p>
            <w:pPr>
              <w:jc w:val="center"/>
            </w:pPr>
            <w:r>
              <w:t>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1297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</w:tr>
    </w:tbl>
    <w:p>
      <w:pPr>
        <w:pStyle w:val="3"/>
      </w:pPr>
      <w:r>
        <w:t>寄存器地址</w:t>
      </w:r>
    </w:p>
    <w:tbl>
      <w:tblPr>
        <w:tblStyle w:val="37"/>
        <w:tblW w:w="6663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992"/>
        <w:gridCol w:w="3260"/>
        <w:gridCol w:w="85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寄存器地址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PLC</w:t>
            </w:r>
            <w:r>
              <w:rPr>
                <w:rFonts w:hint="eastAsia"/>
              </w:rPr>
              <w:t>组</w:t>
            </w:r>
            <w:r>
              <w:t>态地址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内容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00</w:t>
            </w:r>
            <w:r>
              <w:rPr>
                <w:rFonts w:hint="eastAsia"/>
                <w:lang w:val="en-US" w:eastAsia="zh-CN"/>
              </w:rPr>
              <w:t>00</w:t>
            </w:r>
            <w:r>
              <w:t>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  <w:rPr>
                <w:rFonts w:hint="default" w:eastAsia="宋体"/>
                <w:lang w:val="en-US" w:eastAsia="zh-CN"/>
              </w:rPr>
            </w:pPr>
            <w:r>
              <w:t>400</w:t>
            </w:r>
            <w:r>
              <w:rPr>
                <w:rFonts w:hint="eastAsia"/>
                <w:lang w:val="en-US" w:eastAsia="zh-CN"/>
              </w:rPr>
              <w:t>01</w:t>
            </w:r>
          </w:p>
        </w:tc>
        <w:tc>
          <w:tcPr>
            <w:tcW w:w="3260" w:type="dxa"/>
            <w:shd w:val="clear" w:color="auto" w:fill="auto"/>
          </w:tcPr>
          <w:p>
            <w:pPr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果实膨胀值（单位mm）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0100H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40101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设备地址（0-252）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0101H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40102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波特率（2400</w:t>
            </w:r>
            <w:r>
              <w:rPr>
                <w:rFonts w:hint="eastAsia"/>
              </w:rPr>
              <w:t>/</w:t>
            </w:r>
            <w:r>
              <w:t>4800</w:t>
            </w:r>
            <w:r>
              <w:rPr>
                <w:rFonts w:hint="eastAsia"/>
              </w:rPr>
              <w:t>/</w:t>
            </w:r>
            <w:r>
              <w:t>9600）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读写</w:t>
            </w:r>
          </w:p>
        </w:tc>
      </w:tr>
    </w:tbl>
    <w:p>
      <w:pPr>
        <w:pStyle w:val="3"/>
      </w:pPr>
      <w:r>
        <w:t>通讯协议示例以及解释</w:t>
      </w:r>
    </w:p>
    <w:p>
      <w:pPr>
        <w:pStyle w:val="5"/>
        <w:spacing w:before="20"/>
        <w:rPr>
          <w:rFonts w:hint="eastAsia"/>
        </w:rPr>
      </w:pPr>
      <w:bookmarkStart w:id="15" w:name="_Toc18322"/>
      <w:r>
        <w:rPr>
          <w:rFonts w:hint="eastAsia"/>
        </w:rPr>
        <w:t>读取设备地址0x01的</w:t>
      </w:r>
      <w:r>
        <w:rPr>
          <w:rFonts w:hint="eastAsia"/>
          <w:lang w:val="en-US" w:eastAsia="zh-CN"/>
        </w:rPr>
        <w:t>果实膨胀</w:t>
      </w:r>
      <w:r>
        <w:rPr>
          <w:rFonts w:hint="eastAsia"/>
        </w:rPr>
        <w:t>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84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0x0</w:t>
            </w:r>
            <w:r>
              <w:rPr>
                <w:rFonts w:hint="eastAsia"/>
                <w:lang w:val="en-US" w:eastAsia="zh-CN"/>
              </w:rPr>
              <w:t>A</w:t>
            </w:r>
          </w:p>
        </w:tc>
      </w:tr>
    </w:tbl>
    <w:p>
      <w:pPr>
        <w:pStyle w:val="4"/>
        <w:rPr>
          <w:rFonts w:hint="eastAsia"/>
          <w:lang w:eastAsia="zh-CN"/>
        </w:rPr>
      </w:pPr>
      <w:r>
        <w:rPr>
          <w:rFonts w:hint="eastAsia"/>
          <w:lang w:eastAsia="zh-CN"/>
        </w:rPr>
        <w:tab/>
      </w:r>
      <w:r>
        <w:rPr>
          <w:rFonts w:hint="eastAsia"/>
        </w:rPr>
        <w:t>应答帧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1057"/>
        <w:gridCol w:w="1059"/>
        <w:gridCol w:w="1325"/>
        <w:gridCol w:w="926"/>
        <w:gridCol w:w="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果实膨胀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8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5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0x00 0x</w:t>
            </w:r>
            <w:r>
              <w:rPr>
                <w:rFonts w:hint="eastAsia"/>
                <w:lang w:val="en-US" w:eastAsia="zh-CN"/>
              </w:rPr>
              <w:t>06</w:t>
            </w:r>
          </w:p>
        </w:tc>
        <w:tc>
          <w:tcPr>
            <w:tcW w:w="926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38</w:t>
            </w:r>
          </w:p>
        </w:tc>
        <w:tc>
          <w:tcPr>
            <w:tcW w:w="928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46</w:t>
            </w:r>
          </w:p>
        </w:tc>
      </w:tr>
    </w:tbl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果实膨胀</w:t>
      </w:r>
      <w:r>
        <w:rPr>
          <w:rFonts w:hint="eastAsia"/>
          <w:lang w:eastAsia="zh-CN"/>
        </w:rPr>
        <w:t>值</w:t>
      </w:r>
      <w:r>
        <w:rPr>
          <w:rFonts w:hint="eastAsia"/>
        </w:rPr>
        <w:t>：</w:t>
      </w:r>
      <w:r>
        <w:rPr>
          <w:rFonts w:hint="eastAsia"/>
          <w:lang w:eastAsia="zh-CN"/>
        </w:rPr>
        <w:t xml:space="preserve"> </w:t>
      </w:r>
    </w:p>
    <w:p>
      <w:pPr>
        <w:pStyle w:val="4"/>
        <w:spacing w:line="320" w:lineRule="exact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00</w:t>
      </w:r>
      <w:r>
        <w:rPr>
          <w:rFonts w:hint="eastAsia"/>
          <w:lang w:val="en-US" w:eastAsia="zh-CN"/>
        </w:rPr>
        <w:t>06</w:t>
      </w:r>
      <w:r>
        <w:rPr>
          <w:rFonts w:hint="eastAsia"/>
          <w:lang w:eastAsia="zh-CN"/>
        </w:rPr>
        <w:t xml:space="preserve"> H(十六进制)=</w:t>
      </w:r>
      <w:r>
        <w:rPr>
          <w:rFonts w:hint="eastAsia"/>
          <w:lang w:val="en-US" w:eastAsia="zh-CN"/>
        </w:rPr>
        <w:t>6</w:t>
      </w:r>
      <w:r>
        <w:rPr>
          <w:rFonts w:hint="eastAsia"/>
          <w:lang w:eastAsia="zh-CN"/>
        </w:rPr>
        <w:t>=&gt;</w:t>
      </w:r>
      <w:r>
        <w:rPr>
          <w:rFonts w:hint="eastAsia"/>
          <w:lang w:val="en-US" w:eastAsia="zh-CN"/>
        </w:rPr>
        <w:t>果实膨胀</w:t>
      </w:r>
      <w:r>
        <w:rPr>
          <w:rFonts w:hint="eastAsia"/>
          <w:lang w:eastAsia="zh-CN"/>
        </w:rPr>
        <w:t>=</w:t>
      </w:r>
      <w:r>
        <w:rPr>
          <w:rFonts w:hint="eastAsia"/>
          <w:lang w:val="en-US" w:eastAsia="zh-CN"/>
        </w:rPr>
        <w:t>6mm</w:t>
      </w:r>
    </w:p>
    <w:bookmarkEnd w:id="15"/>
    <w:p>
      <w:pPr>
        <w:pStyle w:val="4"/>
        <w:spacing w:line="320" w:lineRule="exact"/>
      </w:pPr>
      <w:bookmarkStart w:id="16" w:name="_GoBack"/>
      <w:bookmarkEnd w:id="16"/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760D19D9"/>
    <w:multiLevelType w:val="multilevel"/>
    <w:tmpl w:val="760D19D9"/>
    <w:lvl w:ilvl="0" w:tentative="0">
      <w:start w:val="1"/>
      <w:numFmt w:val="bullet"/>
      <w:lvlText w:val=""/>
      <w:lvlJc w:val="left"/>
      <w:pPr>
        <w:ind w:left="91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3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5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7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9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1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3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5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78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attachedTemplate r:id="rId1"/>
  <w:documentProtection w:enforcement="0"/>
  <w:defaultTabStop w:val="578"/>
  <w:evenAndOddHeaders w:val="1"/>
  <w:drawingGridHorizontalSpacing w:val="249"/>
  <w:displayHorizontalDrawingGridEvery w:val="0"/>
  <w:displayVerticalDrawingGridEvery w:val="2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1EE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61240D5"/>
    <w:rsid w:val="06CB142E"/>
    <w:rsid w:val="076F5F08"/>
    <w:rsid w:val="08C36BBA"/>
    <w:rsid w:val="090C0E49"/>
    <w:rsid w:val="09CD5028"/>
    <w:rsid w:val="0BD900EE"/>
    <w:rsid w:val="0DAE20F3"/>
    <w:rsid w:val="0EEC5A9C"/>
    <w:rsid w:val="116333C4"/>
    <w:rsid w:val="1228513B"/>
    <w:rsid w:val="12AC280A"/>
    <w:rsid w:val="13DA64D8"/>
    <w:rsid w:val="16B05340"/>
    <w:rsid w:val="1721452E"/>
    <w:rsid w:val="1A0755D3"/>
    <w:rsid w:val="1B65407A"/>
    <w:rsid w:val="1C212290"/>
    <w:rsid w:val="1C3B3D45"/>
    <w:rsid w:val="1FB55779"/>
    <w:rsid w:val="20B85F76"/>
    <w:rsid w:val="20C365AA"/>
    <w:rsid w:val="236B3EFD"/>
    <w:rsid w:val="24CE6DE0"/>
    <w:rsid w:val="250F67FF"/>
    <w:rsid w:val="262027F4"/>
    <w:rsid w:val="26384D6A"/>
    <w:rsid w:val="263C2E01"/>
    <w:rsid w:val="26EE3630"/>
    <w:rsid w:val="27F43A2B"/>
    <w:rsid w:val="28882B25"/>
    <w:rsid w:val="28CB2CC2"/>
    <w:rsid w:val="292B4709"/>
    <w:rsid w:val="2A761913"/>
    <w:rsid w:val="2B3B3B5B"/>
    <w:rsid w:val="2BBD73D9"/>
    <w:rsid w:val="2D8E1A46"/>
    <w:rsid w:val="2E546549"/>
    <w:rsid w:val="2F1360E3"/>
    <w:rsid w:val="2F705E4F"/>
    <w:rsid w:val="2FBC7D97"/>
    <w:rsid w:val="2FC50066"/>
    <w:rsid w:val="313A7956"/>
    <w:rsid w:val="318D5DF1"/>
    <w:rsid w:val="31C12D59"/>
    <w:rsid w:val="3358657A"/>
    <w:rsid w:val="34675465"/>
    <w:rsid w:val="346930B5"/>
    <w:rsid w:val="356C2DEA"/>
    <w:rsid w:val="35882E67"/>
    <w:rsid w:val="36B63BA6"/>
    <w:rsid w:val="36E433AF"/>
    <w:rsid w:val="36E84106"/>
    <w:rsid w:val="36EC01C5"/>
    <w:rsid w:val="3A113CD3"/>
    <w:rsid w:val="3C245575"/>
    <w:rsid w:val="3C680036"/>
    <w:rsid w:val="3D3906F7"/>
    <w:rsid w:val="3E0C25B9"/>
    <w:rsid w:val="40702162"/>
    <w:rsid w:val="421F7F18"/>
    <w:rsid w:val="42287091"/>
    <w:rsid w:val="42AA5B4D"/>
    <w:rsid w:val="42F92930"/>
    <w:rsid w:val="448418C2"/>
    <w:rsid w:val="44B8767B"/>
    <w:rsid w:val="465F20DE"/>
    <w:rsid w:val="46A34DEF"/>
    <w:rsid w:val="470A5C29"/>
    <w:rsid w:val="473650A3"/>
    <w:rsid w:val="48014218"/>
    <w:rsid w:val="486457E0"/>
    <w:rsid w:val="48C722E2"/>
    <w:rsid w:val="4A934A16"/>
    <w:rsid w:val="4AB4670A"/>
    <w:rsid w:val="4BB560A9"/>
    <w:rsid w:val="4C603508"/>
    <w:rsid w:val="5035544E"/>
    <w:rsid w:val="505A1117"/>
    <w:rsid w:val="51EA0DB6"/>
    <w:rsid w:val="528E4423"/>
    <w:rsid w:val="53A72321"/>
    <w:rsid w:val="56B72361"/>
    <w:rsid w:val="5A0008B8"/>
    <w:rsid w:val="5AFF20BA"/>
    <w:rsid w:val="5BC3757F"/>
    <w:rsid w:val="5D620359"/>
    <w:rsid w:val="5E0529D6"/>
    <w:rsid w:val="5E11104A"/>
    <w:rsid w:val="5E7E7451"/>
    <w:rsid w:val="5EA308D7"/>
    <w:rsid w:val="5F447033"/>
    <w:rsid w:val="5FC3108A"/>
    <w:rsid w:val="608012C0"/>
    <w:rsid w:val="60DF29A9"/>
    <w:rsid w:val="62136766"/>
    <w:rsid w:val="62390A19"/>
    <w:rsid w:val="648C5E8C"/>
    <w:rsid w:val="650A0A3E"/>
    <w:rsid w:val="66314540"/>
    <w:rsid w:val="670760A8"/>
    <w:rsid w:val="67EA7083"/>
    <w:rsid w:val="69887415"/>
    <w:rsid w:val="6B7B5F02"/>
    <w:rsid w:val="6BAC0D39"/>
    <w:rsid w:val="6BCC4A91"/>
    <w:rsid w:val="6CF426B0"/>
    <w:rsid w:val="6D881782"/>
    <w:rsid w:val="6D9A5831"/>
    <w:rsid w:val="6F271A08"/>
    <w:rsid w:val="6F467B67"/>
    <w:rsid w:val="70D13702"/>
    <w:rsid w:val="71540095"/>
    <w:rsid w:val="724E62B0"/>
    <w:rsid w:val="72D23B8D"/>
    <w:rsid w:val="731F4455"/>
    <w:rsid w:val="7336604D"/>
    <w:rsid w:val="737D257E"/>
    <w:rsid w:val="73C74579"/>
    <w:rsid w:val="747C4548"/>
    <w:rsid w:val="750E5829"/>
    <w:rsid w:val="75403BDC"/>
    <w:rsid w:val="768222BC"/>
    <w:rsid w:val="792A0F85"/>
    <w:rsid w:val="7A830CB6"/>
    <w:rsid w:val="7AD34B82"/>
    <w:rsid w:val="7B2B5ADA"/>
    <w:rsid w:val="7BEC5782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1"/>
    <w:link w:val="53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7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1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5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6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1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7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character" w:customStyle="1" w:styleId="51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2">
    <w:name w:val="附表二级标题 Char"/>
    <w:basedOn w:val="53"/>
    <w:link w:val="54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3">
    <w:name w:val="标题 2 字符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4">
    <w:name w:val="附表二级标题"/>
    <w:basedOn w:val="3"/>
    <w:link w:val="52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5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6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7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8">
    <w:name w:val="正文首行缩进 字符"/>
    <w:link w:val="4"/>
    <w:qFormat/>
    <w:uiPriority w:val="0"/>
    <w:rPr>
      <w:kern w:val="2"/>
      <w:sz w:val="24"/>
    </w:rPr>
  </w:style>
  <w:style w:type="character" w:customStyle="1" w:styleId="59">
    <w:name w:val="hps"/>
    <w:qFormat/>
    <w:uiPriority w:val="0"/>
  </w:style>
  <w:style w:type="character" w:customStyle="1" w:styleId="60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1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2">
    <w:name w:val="high-light-bg"/>
    <w:basedOn w:val="43"/>
    <w:qFormat/>
    <w:uiPriority w:val="0"/>
  </w:style>
  <w:style w:type="character" w:customStyle="1" w:styleId="63">
    <w:name w:val="apple-converted-space"/>
    <w:basedOn w:val="43"/>
    <w:qFormat/>
    <w:uiPriority w:val="0"/>
  </w:style>
  <w:style w:type="character" w:customStyle="1" w:styleId="64">
    <w:name w:val="hit"/>
    <w:basedOn w:val="43"/>
    <w:qFormat/>
    <w:uiPriority w:val="0"/>
  </w:style>
  <w:style w:type="character" w:customStyle="1" w:styleId="65">
    <w:name w:val="it"/>
    <w:basedOn w:val="43"/>
    <w:qFormat/>
    <w:uiPriority w:val="0"/>
  </w:style>
  <w:style w:type="character" w:customStyle="1" w:styleId="66">
    <w:name w:val="正文文本缩进 字符"/>
    <w:link w:val="17"/>
    <w:qFormat/>
    <w:uiPriority w:val="0"/>
    <w:rPr>
      <w:kern w:val="2"/>
      <w:sz w:val="24"/>
    </w:rPr>
  </w:style>
  <w:style w:type="character" w:customStyle="1" w:styleId="67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8">
    <w:name w:val="txt"/>
    <w:basedOn w:val="43"/>
    <w:qFormat/>
    <w:uiPriority w:val="0"/>
  </w:style>
  <w:style w:type="character" w:customStyle="1" w:styleId="69">
    <w:name w:val="short_text"/>
    <w:qFormat/>
    <w:uiPriority w:val="0"/>
  </w:style>
  <w:style w:type="character" w:customStyle="1" w:styleId="70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1">
    <w:name w:val="videolength"/>
    <w:basedOn w:val="43"/>
    <w:qFormat/>
    <w:uiPriority w:val="0"/>
  </w:style>
  <w:style w:type="character" w:customStyle="1" w:styleId="72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3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4">
    <w:name w:val="封面内容"/>
    <w:basedOn w:val="43"/>
    <w:qFormat/>
    <w:uiPriority w:val="0"/>
    <w:rPr>
      <w:sz w:val="28"/>
    </w:rPr>
  </w:style>
  <w:style w:type="character" w:customStyle="1" w:styleId="7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6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7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8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79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0">
    <w:name w:val="提示 Char"/>
    <w:link w:val="81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1">
    <w:name w:val="提示"/>
    <w:basedOn w:val="1"/>
    <w:link w:val="80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2">
    <w:name w:val="bf"/>
    <w:basedOn w:val="43"/>
    <w:qFormat/>
    <w:uiPriority w:val="0"/>
  </w:style>
  <w:style w:type="character" w:customStyle="1" w:styleId="83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4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5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6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8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0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1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2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3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4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5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6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7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98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99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0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1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2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3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4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5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6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7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8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0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0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1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2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3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4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5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章标题(不加入目录内)"/>
    <w:basedOn w:val="35"/>
    <w:qFormat/>
    <w:uiPriority w:val="0"/>
    <w:pPr>
      <w:outlineLvl w:val="9"/>
    </w:pPr>
  </w:style>
  <w:style w:type="paragraph" w:customStyle="1" w:styleId="117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8">
    <w:name w:val="Char Char Char Char"/>
    <w:basedOn w:val="1"/>
    <w:qFormat/>
    <w:uiPriority w:val="0"/>
    <w:rPr>
      <w:rFonts w:ascii="Tahoma" w:hAnsi="Tahoma"/>
    </w:rPr>
  </w:style>
  <w:style w:type="paragraph" w:customStyle="1" w:styleId="119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0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1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2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4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5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6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7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8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29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0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2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3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" Type="http://schemas.openxmlformats.org/officeDocument/2006/relationships/image" Target="media/image5.jpeg"/><Relationship Id="rId12" Type="http://schemas.openxmlformats.org/officeDocument/2006/relationships/image" Target="media/image4.pn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4</TotalTime>
  <ScaleCrop>false</ScaleCrop>
  <LinksUpToDate>false</LinksUpToDate>
  <CharactersWithSpaces>3169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SID0809</cp:lastModifiedBy>
  <cp:lastPrinted>2017-07-26T09:13:00Z</cp:lastPrinted>
  <dcterms:modified xsi:type="dcterms:W3CDTF">2021-02-20T09:44:58Z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2052-11.3.0.9228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