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TTL</w:t>
            </w:r>
            <w:r>
              <w:rPr>
                <w:rFonts w:hint="eastAsia"/>
                <w:b/>
                <w:bCs/>
                <w:sz w:val="72"/>
                <w:szCs w:val="72"/>
              </w:rPr>
              <w:t>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土壤电导率</w:t>
            </w:r>
            <w:r>
              <w:rPr>
                <w:rFonts w:hint="eastAsia"/>
                <w:b/>
                <w:bCs/>
                <w:sz w:val="72"/>
                <w:szCs w:val="72"/>
              </w:rPr>
              <w:t>变送器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EC</w:t>
            </w:r>
            <w:bookmarkStart w:id="23" w:name="_GoBack"/>
            <w:bookmarkEnd w:id="2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447699485"/>
      <w:bookmarkStart w:id="1" w:name="_Toc9570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9769"/>
      <w:bookmarkStart w:id="3" w:name="_Toc447699486"/>
      <w:r>
        <w:t>产品概述</w:t>
      </w:r>
      <w:bookmarkEnd w:id="2"/>
      <w:bookmarkEnd w:id="3"/>
    </w:p>
    <w:p>
      <w:pPr>
        <w:ind w:firstLine="560"/>
        <w:rPr>
          <w:rFonts w:hint="eastAsia"/>
          <w:spacing w:val="-96"/>
        </w:rPr>
      </w:pPr>
      <w:bookmarkStart w:id="4" w:name="_Toc447699487"/>
      <w:bookmarkStart w:id="5" w:name="_Toc27250"/>
      <w:r>
        <w:t>土壤</w:t>
      </w:r>
      <w:r>
        <w:rPr>
          <w:rFonts w:hint="eastAsia"/>
        </w:rPr>
        <w:t>电导率</w:t>
      </w:r>
      <w:r>
        <w:t>传感器适</w:t>
      </w:r>
      <w:r>
        <w:rPr>
          <w:spacing w:val="-5"/>
        </w:rPr>
        <w:t>用</w:t>
      </w:r>
      <w:r>
        <w:t>于</w:t>
      </w:r>
      <w:r>
        <w:rPr>
          <w:rFonts w:hint="eastAsia"/>
        </w:rPr>
        <w:t>土壤总盐量（电导率）的测量。土壤电导率传感器极大的方便了客户系统的评估土壤情况。</w:t>
      </w:r>
      <w:r>
        <w:rPr>
          <w:rFonts w:hint="eastAsia"/>
          <w:spacing w:val="-96"/>
        </w:rPr>
        <w:t>.</w:t>
      </w:r>
    </w:p>
    <w:p>
      <w:pPr>
        <w:rPr>
          <w:rFonts w:hint="eastAsia"/>
          <w:spacing w:val="-2"/>
        </w:rPr>
      </w:pPr>
      <w:r>
        <w:rPr>
          <w:rFonts w:hint="eastAsia"/>
          <w:spacing w:val="-96"/>
        </w:rPr>
        <w:tab/>
      </w:r>
      <w:r>
        <w:t>经</w:t>
      </w:r>
      <w:r>
        <w:rPr>
          <w:spacing w:val="-5"/>
        </w:rPr>
        <w:t>与</w:t>
      </w:r>
      <w:r>
        <w:t>德国原</w:t>
      </w:r>
      <w:r>
        <w:rPr>
          <w:spacing w:val="-5"/>
        </w:rPr>
        <w:t>装</w:t>
      </w:r>
      <w:r>
        <w:t>高精度</w:t>
      </w:r>
      <w:r>
        <w:rPr>
          <w:spacing w:val="-5"/>
        </w:rPr>
        <w:t>传</w:t>
      </w:r>
      <w:r>
        <w:t>感器比</w:t>
      </w:r>
      <w:r>
        <w:rPr>
          <w:spacing w:val="-5"/>
        </w:rPr>
        <w:t>较</w:t>
      </w:r>
      <w:r>
        <w:rPr>
          <w:spacing w:val="-4"/>
        </w:rPr>
        <w:t>，精度高，响应快，输出稳定。适用于各种土质。可长期埋</w:t>
      </w:r>
      <w:r>
        <w:rPr>
          <w:spacing w:val="-2"/>
        </w:rPr>
        <w:t>入土壤中，耐长期电解，耐腐蚀，抽真空灌封，完全防水。</w:t>
      </w:r>
    </w:p>
    <w:p>
      <w:pPr>
        <w:pStyle w:val="3"/>
      </w:pPr>
      <w:r>
        <w:t>功能特点</w:t>
      </w:r>
      <w:bookmarkEnd w:id="4"/>
      <w:bookmarkEnd w:id="5"/>
    </w:p>
    <w:p>
      <w:pPr>
        <w:pStyle w:val="16"/>
        <w:spacing w:after="0" w:line="320" w:lineRule="exact"/>
        <w:ind w:firstLine="482"/>
        <w:rPr>
          <w:spacing w:val="-4"/>
          <w:kern w:val="2"/>
          <w:lang w:val="en-US" w:eastAsia="zh-CN"/>
        </w:rPr>
      </w:pPr>
      <w:bookmarkStart w:id="6" w:name="_Toc28848"/>
      <w:r>
        <w:rPr>
          <w:spacing w:val="-4"/>
          <w:kern w:val="2"/>
          <w:lang w:val="en-US" w:eastAsia="zh-CN"/>
        </w:rPr>
        <w:t>广泛适用于科学实验、节水灌溉、温室大棚、花卉蔬菜、草地牧场、土壤速测、植物培养、污水处理、</w:t>
      </w:r>
      <w:r>
        <w:rPr>
          <w:rFonts w:hint="eastAsia"/>
          <w:spacing w:val="-4"/>
          <w:kern w:val="2"/>
          <w:lang w:val="en-US" w:eastAsia="zh-CN"/>
        </w:rPr>
        <w:t>电导率</w:t>
      </w:r>
      <w:r>
        <w:rPr>
          <w:spacing w:val="-4"/>
          <w:kern w:val="2"/>
          <w:lang w:val="en-US" w:eastAsia="zh-CN"/>
        </w:rPr>
        <w:t>的测量。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7"/>
        <w:tblW w:w="0" w:type="auto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2"/>
        <w:gridCol w:w="460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bookmarkStart w:id="7" w:name="_Toc11019"/>
            <w:bookmarkStart w:id="8" w:name="_Toc18758"/>
            <w:r>
              <w:rPr>
                <w:b/>
              </w:rPr>
              <w:t>参数</w:t>
            </w:r>
          </w:p>
        </w:tc>
        <w:tc>
          <w:tcPr>
            <w:tcW w:w="4600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供电电源</w:t>
            </w:r>
          </w:p>
        </w:tc>
        <w:tc>
          <w:tcPr>
            <w:tcW w:w="4600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r>
              <w:t>12-</w:t>
            </w:r>
            <w:r>
              <w:rPr>
                <w:rFonts w:eastAsia="Times New Roman"/>
              </w:rPr>
              <w:t>24V</w:t>
            </w:r>
            <w:r>
              <w:rPr>
                <w:rFonts w:hint="eastAsia"/>
              </w:rPr>
              <w:t xml:space="preserve"> </w:t>
            </w:r>
            <w:r>
              <w:rPr>
                <w:rFonts w:eastAsia="Times New Roman"/>
              </w:rPr>
              <w:t>DC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输出方式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TTL输出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b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b/>
              </w:rPr>
              <w:t>电导率测量范围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Times New Roman" w:hAnsi="Times New Roman" w:eastAsia="Times New Roman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0-10000us/cm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电导率分辨率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eastAsia="Times New Roman"/>
              </w:rPr>
            </w:pPr>
            <w:r>
              <w:rPr>
                <w:rFonts w:hint="eastAsia"/>
              </w:rPr>
              <w:t>10us/cm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存储环境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rPr>
                <w:rFonts w:eastAsia="Times New Roman"/>
              </w:rPr>
              <w:t>-45</w:t>
            </w:r>
            <w:r>
              <w:rPr>
                <w:rFonts w:hAnsi="宋体"/>
              </w:rPr>
              <w:t>℃</w:t>
            </w:r>
            <w:r>
              <w:rPr>
                <w:rFonts w:hint="eastAsia"/>
              </w:rPr>
              <w:t>-</w:t>
            </w:r>
            <w:r>
              <w:rPr>
                <w:rFonts w:eastAsia="Times New Roman"/>
              </w:rPr>
              <w:t>115</w:t>
            </w:r>
            <w:r>
              <w:rPr>
                <w:rFonts w:hAnsi="宋体"/>
              </w:rPr>
              <w:t>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>&lt;1s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安装方式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>全部埋入或探针全部插入被测介质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防护等级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r>
              <w:t xml:space="preserve">IP68 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4600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&lt;1.15W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2" w:type="dxa"/>
            <w:tcBorders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4600" w:type="dxa"/>
            <w:tcBorders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r>
              <w:rPr>
                <w:rFonts w:hint="eastAsia"/>
              </w:rPr>
              <w:t>0.9-1.1atm</w:t>
            </w:r>
          </w:p>
        </w:tc>
      </w:tr>
    </w:tbl>
    <w:p>
      <w:pPr>
        <w:ind w:firstLine="498" w:firstLineChars="200"/>
        <w:rPr>
          <w:rFonts w:hint="eastAsia"/>
        </w:rPr>
      </w:pPr>
      <w:r>
        <w:t>测量结冻冰土层时，水分值会偏低不准确，需要用户补偿</w:t>
      </w:r>
      <w:r>
        <w:rPr>
          <w:rFonts w:hint="eastAsia"/>
        </w:rPr>
        <w:t>。</w:t>
      </w:r>
    </w:p>
    <w:p>
      <w:pPr>
        <w:ind w:firstLine="498" w:firstLineChars="200"/>
      </w:pPr>
      <w:r>
        <w:rPr>
          <w:rFonts w:hint="eastAsia"/>
        </w:rPr>
        <w:t>出厂默认产品适用于测量普通的黄土地、黑土地、红土地。不适用于对于盐分较大的盐碱地、沙地、或者其他粉末状物体的绝对水分测量，单仍可以表征相对水分差别，对于这类型的水分测量应联系厂家做单独校准。</w:t>
      </w:r>
    </w:p>
    <w:bookmarkEnd w:id="7"/>
    <w:bookmarkEnd w:id="8"/>
    <w:p>
      <w:pPr>
        <w:pStyle w:val="4"/>
        <w:spacing w:line="320" w:lineRule="exact"/>
        <w:rPr>
          <w:rFonts w:hint="default" w:hAnsi="宋体" w:eastAsia="宋体"/>
          <w:szCs w:val="24"/>
          <w:lang w:val="en-US" w:eastAsia="zh-CN"/>
        </w:rPr>
      </w:pPr>
    </w:p>
    <w:p>
      <w:pPr>
        <w:pStyle w:val="3"/>
      </w:pPr>
      <w:bookmarkStart w:id="9" w:name="_Toc14200"/>
      <w:r>
        <w:t>系统框架图</w:t>
      </w:r>
      <w:bookmarkEnd w:id="9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</w:t>
      </w:r>
      <w:r>
        <w:rPr>
          <w:rFonts w:hint="eastAsia"/>
          <w:lang w:val="en-US" w:eastAsia="zh-CN"/>
        </w:rPr>
        <w:t>TTL输出</w:t>
      </w:r>
      <w:r>
        <w:rPr>
          <w:rFonts w:hint="eastAsia"/>
        </w:rPr>
        <w:t>接口的PLC，可以通过</w:t>
      </w:r>
      <w:r>
        <w:rPr>
          <w:rFonts w:hint="eastAsia"/>
          <w:lang w:eastAsia="zh-CN"/>
        </w:rPr>
        <w:t>TTL输出</w:t>
      </w:r>
      <w:r>
        <w:rPr>
          <w:rFonts w:hint="eastAsia"/>
        </w:rPr>
        <w:t>接口芯片连接单片机。通过后文指定的modbus协议对单片机和PLC进行编程即可配合传感器使用。同时使用USB转</w:t>
      </w:r>
      <w:r>
        <w:rPr>
          <w:rFonts w:hint="eastAsia"/>
          <w:lang w:eastAsia="zh-CN"/>
        </w:rPr>
        <w:t>TTL输出</w:t>
      </w:r>
      <w:r>
        <w:rPr>
          <w:rFonts w:hint="eastAsia"/>
        </w:rPr>
        <w:t>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rFonts w:hint="eastAsia" w:eastAsia="宋体"/>
          <w:color w:val="FF0000"/>
          <w:lang w:eastAsia="zh-CN"/>
        </w:rPr>
        <w:drawing>
          <wp:inline distT="0" distB="0" distL="114300" distR="114300">
            <wp:extent cx="4048125" cy="3219450"/>
            <wp:effectExtent l="0" t="0" r="9525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230370" cy="5617845"/>
            <wp:effectExtent l="0" t="0" r="17780" b="190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0370" cy="561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0" w:name="_Toc4148"/>
      <w:bookmarkEnd w:id="10"/>
      <w:r>
        <w:t>硬件连接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1" w:name="_Toc14785"/>
      <w:r>
        <w:rPr>
          <w:rFonts w:hint="eastAsia"/>
        </w:rPr>
        <w:t>设备安装前检查</w:t>
      </w:r>
      <w:bookmarkEnd w:id="11"/>
    </w:p>
    <w:p>
      <w:pPr>
        <w:spacing w:line="320" w:lineRule="exact"/>
        <w:ind w:firstLine="487" w:firstLineChars="196"/>
        <w:rPr>
          <w:rFonts w:hint="eastAsia"/>
        </w:rPr>
      </w:pPr>
      <w:r>
        <w:rPr>
          <w:rFonts w:hint="eastAsia"/>
        </w:rPr>
        <w:t>安装设备前请检查设备清单：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9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土壤</w:t>
            </w:r>
            <w:r>
              <w:rPr>
                <w:b/>
              </w:rPr>
              <w:t>变送器设备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bottom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12V防水电源</w:t>
            </w:r>
          </w:p>
        </w:tc>
        <w:tc>
          <w:tcPr>
            <w:tcW w:w="1649" w:type="dxa"/>
            <w:tcBorders>
              <w:bottom w:val="nil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2" w:type="dxa"/>
            <w:tcBorders>
              <w:top w:val="nil"/>
              <w:bottom w:val="single" w:color="000000" w:sz="8" w:space="0"/>
            </w:tcBorders>
            <w:shd w:val="pct25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保修卡/合格证</w:t>
            </w:r>
          </w:p>
        </w:tc>
        <w:tc>
          <w:tcPr>
            <w:tcW w:w="1649" w:type="dxa"/>
            <w:tcBorders>
              <w:top w:val="nil"/>
              <w:bottom w:val="single" w:color="000000" w:sz="8" w:space="0"/>
            </w:tcBorders>
            <w:shd w:val="pct25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1份</w:t>
            </w:r>
          </w:p>
        </w:tc>
      </w:tr>
    </w:tbl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接口说明</w:t>
      </w:r>
    </w:p>
    <w:p>
      <w:pPr>
        <w:spacing w:line="320" w:lineRule="exact"/>
        <w:ind w:firstLine="487" w:firstLineChars="196"/>
        <w:rPr>
          <w:rFonts w:hint="eastAsia"/>
        </w:rPr>
      </w:pPr>
      <w:r>
        <w:rPr>
          <w:rFonts w:hint="eastAsia"/>
        </w:rPr>
        <w:t>电源接口为宽电压电源输入 12-24V 均可。模拟量型产品注意信号线正负，不要将电流/电压信号线的正负接反。</w:t>
      </w:r>
    </w:p>
    <w:p>
      <w:pPr>
        <w:spacing w:line="360" w:lineRule="auto"/>
        <w:ind w:firstLine="418" w:firstLineChars="200"/>
        <w:jc w:val="center"/>
        <w:rPr>
          <w:rFonts w:hint="eastAsia"/>
        </w:rPr>
      </w:pPr>
      <w:r>
        <w:rPr>
          <w:sz w:val="20"/>
          <w:lang w:val="de-AT"/>
        </w:rPr>
        <w:drawing>
          <wp:inline distT="0" distB="0" distL="114300" distR="114300">
            <wp:extent cx="3973830" cy="2867025"/>
            <wp:effectExtent l="0" t="0" r="7620" b="9525"/>
            <wp:docPr id="6" name="图片 1" descr="土壤电导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土壤电导率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383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337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电源负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default"/>
                <w:lang w:val="en-US" w:eastAsia="zh-CN"/>
              </w:rPr>
              <w:t>GND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RXD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黄色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default"/>
                <w:lang w:val="en-US"/>
              </w:rPr>
              <w:t>TXD</w:t>
            </w:r>
          </w:p>
        </w:tc>
      </w:tr>
    </w:tbl>
    <w:p>
      <w:pPr>
        <w:ind w:firstLine="498" w:firstLineChars="200"/>
        <w:rPr>
          <w:rFonts w:hint="eastAsia"/>
          <w:b/>
          <w:u w:val="single"/>
        </w:rPr>
      </w:pPr>
      <w:r>
        <w:rPr>
          <w:rFonts w:hint="eastAsia"/>
        </w:rPr>
        <w:t>注意事项：请注意不要接错线序，错误的接线会导致设备烧毁。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出厂默认提供1.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5米长线材 ，客户可根据需要按需延长线材或者顺次接线。</w:t>
      </w:r>
    </w:p>
    <w:p>
      <w:pPr>
        <w:rPr>
          <w:rFonts w:hint="eastAsia"/>
        </w:rPr>
      </w:pPr>
      <w:r>
        <w:rPr>
          <w:rFonts w:hint="eastAsia"/>
        </w:rPr>
        <w:tab/>
      </w:r>
      <w:bookmarkStart w:id="12" w:name="OLE_LINK30"/>
      <w:bookmarkStart w:id="13" w:name="OLE_LINK31"/>
      <w:bookmarkStart w:id="14" w:name="OLE_LINK32"/>
      <w:r>
        <w:rPr>
          <w:rFonts w:hint="eastAsia"/>
        </w:rPr>
        <w:t>注意在某些出厂批次中可能提供的线序中没有黄色线，此时灰色线等价替换黄色线作用。</w:t>
      </w:r>
      <w:bookmarkEnd w:id="12"/>
      <w:bookmarkEnd w:id="13"/>
      <w:bookmarkEnd w:id="14"/>
    </w:p>
    <w:p>
      <w:pPr>
        <w:pStyle w:val="3"/>
        <w:spacing w:before="20" w:after="20"/>
        <w:ind w:left="578" w:hanging="578"/>
      </w:pPr>
      <w:bookmarkStart w:id="15" w:name="_Toc24168"/>
      <w:r>
        <w:rPr>
          <w:spacing w:val="2"/>
        </w:rPr>
        <w:t>速测方法</w:t>
      </w:r>
      <w:bookmarkEnd w:id="15"/>
    </w:p>
    <w:p>
      <w:pPr>
        <w:pStyle w:val="16"/>
        <w:spacing w:after="0" w:line="320" w:lineRule="exact"/>
        <w:ind w:firstLine="498"/>
        <w:rPr>
          <w:lang w:val="en-US" w:eastAsia="zh-CN"/>
        </w:rPr>
      </w:pPr>
      <w:r>
        <w:t>选定</w:t>
      </w:r>
      <w:r>
        <w:rPr>
          <w:spacing w:val="-5"/>
        </w:rPr>
        <w:t>合</w:t>
      </w:r>
      <w:r>
        <w:t>适的测</w:t>
      </w:r>
      <w:r>
        <w:rPr>
          <w:spacing w:val="-5"/>
        </w:rPr>
        <w:t>量</w:t>
      </w:r>
      <w:r>
        <w:t>地点</w:t>
      </w:r>
      <w:r>
        <w:rPr>
          <w:spacing w:val="-29"/>
        </w:rPr>
        <w:t>，</w:t>
      </w:r>
      <w:r>
        <w:t>避开</w:t>
      </w:r>
      <w:r>
        <w:rPr>
          <w:spacing w:val="-5"/>
        </w:rPr>
        <w:t>石</w:t>
      </w:r>
      <w:r>
        <w:t>块</w:t>
      </w:r>
      <w:r>
        <w:rPr>
          <w:spacing w:val="-34"/>
        </w:rPr>
        <w:t>，</w:t>
      </w:r>
      <w:r>
        <w:t>确保</w:t>
      </w:r>
      <w:r>
        <w:rPr>
          <w:spacing w:val="-5"/>
        </w:rPr>
        <w:t>钢</w:t>
      </w:r>
      <w:r>
        <w:t>针不会</w:t>
      </w:r>
      <w:r>
        <w:rPr>
          <w:spacing w:val="-5"/>
        </w:rPr>
        <w:t>碰</w:t>
      </w:r>
      <w:r>
        <w:t>到坚硬</w:t>
      </w:r>
      <w:r>
        <w:rPr>
          <w:spacing w:val="-5"/>
        </w:rPr>
        <w:t>的</w:t>
      </w:r>
      <w:r>
        <w:t>物体</w:t>
      </w:r>
      <w:r>
        <w:rPr>
          <w:spacing w:val="-34"/>
        </w:rPr>
        <w:t>，</w:t>
      </w:r>
      <w:r>
        <w:t>按照</w:t>
      </w:r>
      <w:r>
        <w:rPr>
          <w:spacing w:val="-5"/>
        </w:rPr>
        <w:t>所</w:t>
      </w:r>
      <w:r>
        <w:t>需测量</w:t>
      </w:r>
      <w:r>
        <w:rPr>
          <w:spacing w:val="-5"/>
        </w:rPr>
        <w:t>深</w:t>
      </w:r>
      <w:r>
        <w:t>度抛开表</w:t>
      </w:r>
      <w:r>
        <w:rPr>
          <w:spacing w:val="-5"/>
        </w:rPr>
        <w:t>层</w:t>
      </w:r>
      <w:r>
        <w:t>土</w:t>
      </w:r>
      <w:r>
        <w:rPr>
          <w:spacing w:val="-67"/>
        </w:rPr>
        <w:t>，</w:t>
      </w:r>
      <w:r>
        <w:t>保持</w:t>
      </w:r>
      <w:r>
        <w:rPr>
          <w:spacing w:val="-5"/>
        </w:rPr>
        <w:t>下</w:t>
      </w:r>
      <w:r>
        <w:t>面土壤</w:t>
      </w:r>
      <w:r>
        <w:rPr>
          <w:spacing w:val="-5"/>
        </w:rPr>
        <w:t>原</w:t>
      </w:r>
      <w:r>
        <w:t>有的松</w:t>
      </w:r>
      <w:r>
        <w:rPr>
          <w:spacing w:val="-5"/>
        </w:rPr>
        <w:t>紧</w:t>
      </w:r>
      <w:r>
        <w:t>程度</w:t>
      </w:r>
      <w:r>
        <w:rPr>
          <w:spacing w:val="-67"/>
        </w:rPr>
        <w:t>，</w:t>
      </w:r>
      <w:r>
        <w:t>紧握</w:t>
      </w:r>
      <w:r>
        <w:rPr>
          <w:spacing w:val="-5"/>
        </w:rPr>
        <w:t>传</w:t>
      </w:r>
      <w:r>
        <w:t>感器垂</w:t>
      </w:r>
      <w:r>
        <w:rPr>
          <w:spacing w:val="-5"/>
        </w:rPr>
        <w:t>直</w:t>
      </w:r>
      <w:r>
        <w:t>插入土</w:t>
      </w:r>
      <w:r>
        <w:rPr>
          <w:spacing w:val="-5"/>
        </w:rPr>
        <w:t>壤</w:t>
      </w:r>
      <w:r>
        <w:rPr>
          <w:spacing w:val="-67"/>
        </w:rPr>
        <w:t>，</w:t>
      </w:r>
      <w:r>
        <w:t>插入</w:t>
      </w:r>
      <w:r>
        <w:rPr>
          <w:spacing w:val="-5"/>
        </w:rPr>
        <w:t>时</w:t>
      </w:r>
      <w:r>
        <w:t>不可左</w:t>
      </w:r>
      <w:r>
        <w:rPr>
          <w:spacing w:val="-5"/>
        </w:rPr>
        <w:t>右</w:t>
      </w:r>
      <w:r>
        <w:t>晃动</w:t>
      </w:r>
      <w:r>
        <w:rPr>
          <w:lang w:val="en-US" w:eastAsia="zh-CN"/>
        </w:rPr>
        <w:t>,</w:t>
      </w:r>
      <w:r>
        <w:rPr>
          <w:spacing w:val="-2"/>
        </w:rPr>
        <w:t>一个测点的小范围内建议多次测量求平均值。</w:t>
      </w:r>
    </w:p>
    <w:p>
      <w:pPr>
        <w:pStyle w:val="3"/>
        <w:spacing w:before="20" w:after="20"/>
        <w:ind w:left="578" w:hanging="578"/>
      </w:pPr>
      <w:bookmarkStart w:id="16" w:name="_Toc22793"/>
      <w:r>
        <w:t>埋地测量法</w:t>
      </w:r>
      <w:bookmarkEnd w:id="16"/>
    </w:p>
    <w:p>
      <w:pPr>
        <w:pStyle w:val="16"/>
        <w:spacing w:after="0" w:line="320" w:lineRule="exact"/>
        <w:ind w:firstLine="498"/>
        <w:rPr>
          <w:lang w:val="en-US" w:eastAsia="zh-CN"/>
        </w:rPr>
      </w:pPr>
      <w:r>
        <w:t>垂直</w:t>
      </w:r>
      <w:r>
        <w:rPr>
          <w:spacing w:val="-5"/>
        </w:rPr>
        <w:t>挖</w:t>
      </w:r>
      <w:r>
        <w:t>直径</w:t>
      </w:r>
      <w:r>
        <w:rPr>
          <w:rFonts w:eastAsia="Times New Roman"/>
          <w:spacing w:val="1"/>
        </w:rPr>
        <w:t>&gt;</w:t>
      </w:r>
      <w:r>
        <w:rPr>
          <w:rFonts w:eastAsia="Times New Roman"/>
        </w:rPr>
        <w:t>20</w:t>
      </w:r>
      <w:r>
        <w:rPr>
          <w:rFonts w:eastAsia="Times New Roman"/>
          <w:spacing w:val="-3"/>
        </w:rPr>
        <w:t>c</w:t>
      </w:r>
      <w:r>
        <w:rPr>
          <w:rFonts w:eastAsia="Times New Roman"/>
        </w:rPr>
        <w:t>m</w:t>
      </w:r>
      <w:r>
        <w:rPr>
          <w:rFonts w:eastAsia="Times New Roman"/>
          <w:spacing w:val="-1"/>
        </w:rPr>
        <w:t xml:space="preserve"> </w:t>
      </w:r>
      <w:r>
        <w:t>的</w:t>
      </w:r>
      <w:r>
        <w:rPr>
          <w:spacing w:val="-5"/>
        </w:rPr>
        <w:t>坑</w:t>
      </w:r>
      <w:r>
        <w:rPr>
          <w:spacing w:val="-34"/>
        </w:rPr>
        <w:t>，</w:t>
      </w:r>
      <w:r>
        <w:t>在既定</w:t>
      </w:r>
      <w:r>
        <w:rPr>
          <w:spacing w:val="-5"/>
        </w:rPr>
        <w:t>的</w:t>
      </w:r>
      <w:r>
        <w:t>深度将</w:t>
      </w:r>
      <w:r>
        <w:rPr>
          <w:spacing w:val="-5"/>
        </w:rPr>
        <w:t>传</w:t>
      </w:r>
      <w:r>
        <w:t>感器钢</w:t>
      </w:r>
      <w:r>
        <w:rPr>
          <w:spacing w:val="-5"/>
        </w:rPr>
        <w:t>针</w:t>
      </w:r>
      <w:r>
        <w:t>水平插</w:t>
      </w:r>
      <w:r>
        <w:rPr>
          <w:spacing w:val="-5"/>
        </w:rPr>
        <w:t>入</w:t>
      </w:r>
      <w:r>
        <w:t>坑壁</w:t>
      </w:r>
      <w:r>
        <w:rPr>
          <w:spacing w:val="-34"/>
        </w:rPr>
        <w:t>，</w:t>
      </w:r>
      <w:r>
        <w:t>将坑</w:t>
      </w:r>
      <w:r>
        <w:rPr>
          <w:spacing w:val="-5"/>
        </w:rPr>
        <w:t>填</w:t>
      </w:r>
      <w:r>
        <w:t>埋严</w:t>
      </w:r>
      <w:r>
        <w:rPr>
          <w:spacing w:val="-5"/>
        </w:rPr>
        <w:t>实</w:t>
      </w:r>
      <w:r>
        <w:rPr>
          <w:spacing w:val="-34"/>
        </w:rPr>
        <w:t>，</w:t>
      </w:r>
      <w:r>
        <w:t>稳</w:t>
      </w:r>
      <w:r>
        <w:rPr>
          <w:spacing w:val="-2"/>
        </w:rPr>
        <w:t>定一段时间后，即可进行连续数天，数月乃至更长时间的测量和记录。</w:t>
      </w:r>
    </w:p>
    <w:p>
      <w:pPr>
        <w:pStyle w:val="3"/>
        <w:spacing w:before="20" w:after="20"/>
        <w:ind w:left="578" w:hanging="578"/>
      </w:pPr>
      <w:bookmarkStart w:id="17" w:name="_Toc30090"/>
      <w:r>
        <w:rPr>
          <w:spacing w:val="2"/>
        </w:rPr>
        <w:t>注意事项</w:t>
      </w:r>
      <w:bookmarkEnd w:id="17"/>
    </w:p>
    <w:p>
      <w:pPr>
        <w:pStyle w:val="16"/>
        <w:spacing w:before="97" w:after="0" w:line="320" w:lineRule="exact"/>
        <w:ind w:firstLine="490"/>
      </w:pPr>
      <w:r>
        <w:rPr>
          <w:rFonts w:eastAsia="Times New Roman"/>
          <w:spacing w:val="-2"/>
        </w:rPr>
        <w:t>1</w:t>
      </w:r>
      <w:r>
        <w:rPr>
          <w:spacing w:val="-2"/>
        </w:rPr>
        <w:t>、测量时钢针必须全部插入土壤里。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2</w:t>
      </w:r>
      <w:r>
        <w:rPr>
          <w:spacing w:val="-2"/>
        </w:rPr>
        <w:t>、避免强烈阳光直接照射到传感器上而导致温度过高。野外使用注意防雷击。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3</w:t>
      </w:r>
      <w:r>
        <w:rPr>
          <w:spacing w:val="-2"/>
        </w:rPr>
        <w:t>、勿暴力折弯钢针，勿用力拉拽传感器引出线，勿摔打或猛烈撞击传感器。</w:t>
      </w:r>
    </w:p>
    <w:p>
      <w:pPr>
        <w:pStyle w:val="16"/>
        <w:spacing w:before="112" w:after="0" w:line="320" w:lineRule="exact"/>
        <w:ind w:firstLine="490"/>
      </w:pPr>
      <w:r>
        <w:rPr>
          <w:rFonts w:eastAsia="Times New Roman"/>
          <w:spacing w:val="-2"/>
        </w:rPr>
        <w:t>4</w:t>
      </w:r>
      <w:r>
        <w:rPr>
          <w:spacing w:val="-2"/>
        </w:rPr>
        <w:t>、传感器防护等级</w:t>
      </w:r>
      <w:r>
        <w:rPr>
          <w:spacing w:val="-52"/>
        </w:rPr>
        <w:t xml:space="preserve"> </w:t>
      </w:r>
      <w:r>
        <w:rPr>
          <w:rFonts w:eastAsia="Times New Roman"/>
          <w:spacing w:val="-2"/>
        </w:rPr>
        <w:t>IP68</w:t>
      </w:r>
      <w:r>
        <w:rPr>
          <w:spacing w:val="-2"/>
        </w:rPr>
        <w:t>，可以将传感器整个泡在水中。</w:t>
      </w:r>
    </w:p>
    <w:p>
      <w:pPr>
        <w:pStyle w:val="16"/>
        <w:spacing w:after="0" w:line="320" w:lineRule="exact"/>
        <w:ind w:firstLine="490"/>
      </w:pPr>
      <w:r>
        <w:rPr>
          <w:rFonts w:eastAsia="Times New Roman"/>
          <w:spacing w:val="-2"/>
        </w:rPr>
        <w:t>5</w:t>
      </w:r>
      <w:r>
        <w:rPr>
          <w:spacing w:val="-2"/>
        </w:rPr>
        <w:t>、由于在空气中存在射频电磁辐射，不宜长时间在空气中处于通电状态。</w:t>
      </w: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将传感器通过USB转TTL输出正确的连接电脑并提供供电后，可以在电脑中看到正确的COM口（“我的电脑—属性—设备管理器—端口”里面查看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如果在设备管理器中没有发现COM口，则意味您没有插入USB转TTL输出或者没有正确安装驱动，请联系技术人员取得帮助。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的方法获取到串口号并选择正确的串口，然后单击“自动获取当前波特率和地址”即可自动探测到当前TTL输出总线上的所有设备和波特率。请注意，使用软件自动获取时需要保证TTL输出总线上只有一个传感器。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  <w:rPr>
          <w:rFonts w:hint="eastAsia"/>
        </w:rPr>
      </w:pPr>
      <w:bookmarkStart w:id="18" w:name="_Toc9183"/>
      <w:r>
        <w:rPr>
          <w:rFonts w:hint="eastAsia"/>
        </w:rPr>
        <w:t>通讯基本参数</w:t>
      </w:r>
      <w:bookmarkEnd w:id="18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参数</w:t>
            </w:r>
          </w:p>
        </w:tc>
        <w:tc>
          <w:tcPr>
            <w:tcW w:w="473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编码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数据位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奇偶校验位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停止位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错误校准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波特率</w:t>
            </w:r>
          </w:p>
        </w:tc>
        <w:tc>
          <w:tcPr>
            <w:tcW w:w="4732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2400bps/4800bps/9600bps可设，出厂默认为9600bps</w:t>
            </w:r>
          </w:p>
        </w:tc>
      </w:tr>
    </w:tbl>
    <w:p>
      <w:pPr>
        <w:pStyle w:val="3"/>
      </w:pPr>
      <w:bookmarkStart w:id="19" w:name="_Toc12903"/>
      <w:r>
        <w:rPr>
          <w:rFonts w:hint="eastAsia"/>
        </w:rPr>
        <w:t>数据帧格式定义</w:t>
      </w:r>
      <w:bookmarkEnd w:id="19"/>
    </w:p>
    <w:p>
      <w:pPr>
        <w:pStyle w:val="4"/>
        <w:rPr>
          <w:rFonts w:hint="eastAsia"/>
        </w:rPr>
      </w:pPr>
      <w:r>
        <w:rPr>
          <w:rFonts w:hint="eastAsia"/>
        </w:rPr>
        <w:t>采用Modbus-RTU通讯规约，格式如下：</w:t>
      </w:r>
    </w:p>
    <w:p>
      <w:pPr>
        <w:pStyle w:val="4"/>
        <w:rPr>
          <w:rFonts w:hint="eastAsia"/>
        </w:rPr>
      </w:pPr>
      <w:r>
        <w:rPr>
          <w:rFonts w:hint="eastAsia"/>
        </w:rPr>
        <w:t>初始结构≥4字节的时间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数据区=N字节</w:t>
      </w:r>
    </w:p>
    <w:p>
      <w:pPr>
        <w:pStyle w:val="4"/>
        <w:rPr>
          <w:rFonts w:hint="eastAsia"/>
        </w:rPr>
      </w:pPr>
      <w:r>
        <w:rPr>
          <w:rFonts w:hint="eastAsia"/>
        </w:rPr>
        <w:t>错误校验=16位CRC码</w:t>
      </w:r>
    </w:p>
    <w:p>
      <w:pPr>
        <w:pStyle w:val="4"/>
        <w:rPr>
          <w:rFonts w:hint="eastAsia"/>
        </w:rPr>
      </w:pPr>
      <w:r>
        <w:rPr>
          <w:rFonts w:hint="eastAsia"/>
        </w:rPr>
        <w:t>结束结构≥4字节的时间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地址码：为变送器的功能指示，本变送器只用到功能码 0x03</w:t>
      </w:r>
      <w:r>
        <w:rPr>
          <w:rFonts w:hint="eastAsia"/>
          <w:lang w:eastAsia="zh-CN"/>
        </w:rPr>
        <w:t>(</w:t>
      </w:r>
      <w:r>
        <w:rPr>
          <w:rFonts w:hint="eastAsia"/>
        </w:rPr>
        <w:t>读取寄存器数据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数据区：数据区是具体地址，在通讯网络中是唯一的</w:t>
      </w:r>
      <w:r>
        <w:rPr>
          <w:rFonts w:hint="eastAsia"/>
          <w:lang w:eastAsia="zh-CN"/>
        </w:rPr>
        <w:t>(</w:t>
      </w:r>
      <w:r>
        <w:rPr>
          <w:rFonts w:hint="eastAsia"/>
        </w:rPr>
        <w:t>出厂默认0x01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功能码：主机所发指令通讯数据，注意16bits数据高字节在前！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CRC码：二字节的校验码。</w:t>
      </w:r>
    </w:p>
    <w:p>
      <w:pPr>
        <w:pStyle w:val="4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870"/>
        <w:gridCol w:w="870"/>
        <w:gridCol w:w="1677"/>
        <w:gridCol w:w="1273"/>
        <w:gridCol w:w="98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寄存器起始地址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寄存器长度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902"/>
        <w:gridCol w:w="1339"/>
        <w:gridCol w:w="1339"/>
        <w:gridCol w:w="1339"/>
        <w:gridCol w:w="109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第一数据区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第二数据区</w:t>
            </w:r>
          </w:p>
        </w:tc>
        <w:tc>
          <w:tcPr>
            <w:tcW w:w="109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90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33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09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</w:tr>
    </w:tbl>
    <w:p>
      <w:pPr>
        <w:pStyle w:val="3"/>
        <w:ind w:left="576" w:hanging="576"/>
        <w:rPr>
          <w:rFonts w:hint="eastAsia"/>
          <w:spacing w:val="-1"/>
        </w:rPr>
      </w:pPr>
      <w:bookmarkStart w:id="20" w:name="_Toc3804"/>
      <w:r>
        <w:rPr>
          <w:spacing w:val="-1"/>
        </w:rPr>
        <w:t>寄存器地址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1066"/>
        <w:gridCol w:w="2835"/>
        <w:gridCol w:w="1418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34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106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H</w:t>
            </w:r>
          </w:p>
        </w:tc>
        <w:tc>
          <w:tcPr>
            <w:tcW w:w="1066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400</w:t>
            </w: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土壤电导率</w:t>
            </w:r>
            <w:r>
              <w:rPr>
                <w:rFonts w:hint="eastAsia"/>
              </w:rPr>
              <w:t>(单位1us/cm)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106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106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ind w:left="576" w:hanging="576"/>
        <w:rPr>
          <w:rFonts w:hint="eastAsia"/>
        </w:rPr>
      </w:pPr>
      <w:bookmarkStart w:id="21" w:name="_Toc488485537"/>
      <w:r>
        <w:t>通讯协议示例以及解释</w:t>
      </w:r>
      <w:bookmarkEnd w:id="21"/>
    </w:p>
    <w:p>
      <w:pPr>
        <w:pStyle w:val="5"/>
        <w:rPr>
          <w:rFonts w:hint="eastAsia"/>
        </w:rPr>
      </w:pPr>
      <w:bookmarkStart w:id="22" w:name="_Toc3715"/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土壤电导率</w:t>
      </w:r>
      <w:r>
        <w:rPr>
          <w:rFonts w:hint="eastAsia"/>
        </w:rPr>
        <w:t>值</w:t>
      </w:r>
      <w:bookmarkEnd w:id="22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0x00,0x</w:t>
            </w: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95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CE</w:t>
            </w:r>
          </w:p>
        </w:tc>
      </w:tr>
    </w:tbl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  <w:r>
        <w:rPr>
          <w:rFonts w:hint="eastAsia"/>
        </w:rPr>
        <w:t>应答帧</w:t>
      </w:r>
      <w:r>
        <w:rPr>
          <w:rFonts w:hint="eastAsia"/>
          <w:lang w:eastAsia="zh-CN"/>
        </w:rPr>
        <w:t>(</w:t>
      </w:r>
      <w:r>
        <w:rPr>
          <w:rFonts w:hint="eastAsia"/>
        </w:rPr>
        <w:t>例如读到</w:t>
      </w:r>
      <w:r>
        <w:rPr>
          <w:rFonts w:hint="eastAsia"/>
          <w:lang w:val="en-US" w:eastAsia="zh-CN"/>
        </w:rPr>
        <w:t>EC值为1203</w:t>
      </w:r>
      <w:r>
        <w:rPr>
          <w:rFonts w:hint="eastAsia"/>
        </w:rPr>
        <w:t>1us/cm</w:t>
      </w:r>
      <w:r>
        <w:rPr>
          <w:rFonts w:hint="eastAsia"/>
          <w:lang w:eastAsia="zh-CN"/>
        </w:rPr>
        <w:t>)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1131"/>
        <w:gridCol w:w="1134"/>
        <w:gridCol w:w="1418"/>
        <w:gridCol w:w="99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土壤电导率</w:t>
            </w:r>
            <w:r>
              <w:rPr>
                <w:rFonts w:hint="eastAsia"/>
              </w:rPr>
              <w:t>值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9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0x</w:t>
            </w:r>
            <w:r>
              <w:rPr>
                <w:rFonts w:hint="eastAsia"/>
                <w:lang w:val="en-US" w:eastAsia="zh-CN"/>
              </w:rPr>
              <w:t>FF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F8</w:t>
            </w:r>
          </w:p>
        </w:tc>
        <w:tc>
          <w:tcPr>
            <w:tcW w:w="993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F4</w:t>
            </w:r>
          </w:p>
        </w:tc>
      </w:tr>
    </w:tbl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EC</w:t>
      </w:r>
      <w:r>
        <w:rPr>
          <w:rFonts w:hint="eastAsia"/>
        </w:rPr>
        <w:t>：</w:t>
      </w:r>
      <w:r>
        <w:rPr>
          <w:rFonts w:hint="eastAsia"/>
          <w:lang w:eastAsia="zh-CN"/>
        </w:rPr>
        <w:t xml:space="preserve"> </w:t>
      </w:r>
    </w:p>
    <w:p>
      <w:pPr>
        <w:pStyle w:val="4"/>
        <w:spacing w:line="320" w:lineRule="exac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0</w:t>
      </w:r>
      <w:r>
        <w:rPr>
          <w:rFonts w:hint="eastAsia"/>
          <w:lang w:val="en-US" w:eastAsia="zh-CN"/>
        </w:rPr>
        <w:t>3FF</w:t>
      </w:r>
      <w:r>
        <w:rPr>
          <w:rFonts w:hint="eastAsia"/>
          <w:lang w:eastAsia="zh-CN"/>
        </w:rPr>
        <w:t xml:space="preserve"> H(十六进制)=</w:t>
      </w:r>
      <w:r>
        <w:rPr>
          <w:rFonts w:hint="eastAsia"/>
          <w:lang w:val="en-US" w:eastAsia="zh-CN"/>
        </w:rPr>
        <w:t>1023</w:t>
      </w:r>
      <w:r>
        <w:rPr>
          <w:rFonts w:hint="eastAsia"/>
          <w:lang w:eastAsia="zh-CN"/>
        </w:rPr>
        <w:t>=&gt;</w:t>
      </w:r>
      <w:r>
        <w:rPr>
          <w:rFonts w:hint="eastAsia"/>
          <w:lang w:val="en-US" w:eastAsia="zh-CN"/>
        </w:rPr>
        <w:t>土壤电导率</w:t>
      </w:r>
      <w:r>
        <w:rPr>
          <w:rFonts w:hint="eastAsia"/>
          <w:lang w:eastAsia="zh-CN"/>
        </w:rPr>
        <w:t>=</w:t>
      </w:r>
      <w:r>
        <w:rPr>
          <w:rFonts w:hint="eastAsia"/>
          <w:lang w:val="en-US" w:eastAsia="zh-CN"/>
        </w:rPr>
        <w:t>1023</w:t>
      </w:r>
      <w:r>
        <w:rPr>
          <w:rFonts w:hint="eastAsia"/>
        </w:rPr>
        <w:t>us/cm</w:t>
      </w:r>
    </w:p>
    <w:bookmarkEnd w:id="20"/>
    <w:p>
      <w:pPr>
        <w:pStyle w:val="16"/>
        <w:spacing w:after="0" w:line="320" w:lineRule="exact"/>
        <w:ind w:firstLine="498"/>
        <w:jc w:val="left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E6D04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2CA23A6"/>
    <w:rsid w:val="04B56BB8"/>
    <w:rsid w:val="054F7921"/>
    <w:rsid w:val="0561436D"/>
    <w:rsid w:val="061240D5"/>
    <w:rsid w:val="076F5F08"/>
    <w:rsid w:val="08C36BBA"/>
    <w:rsid w:val="090C0E49"/>
    <w:rsid w:val="09CD5028"/>
    <w:rsid w:val="0BD900EE"/>
    <w:rsid w:val="0DAE20F3"/>
    <w:rsid w:val="0EEC5A9C"/>
    <w:rsid w:val="108F25C1"/>
    <w:rsid w:val="1228513B"/>
    <w:rsid w:val="12AC280A"/>
    <w:rsid w:val="13DA64D8"/>
    <w:rsid w:val="144236EC"/>
    <w:rsid w:val="145D5BEE"/>
    <w:rsid w:val="14CF7A7C"/>
    <w:rsid w:val="15B0374A"/>
    <w:rsid w:val="16A7233D"/>
    <w:rsid w:val="16B05340"/>
    <w:rsid w:val="170B369D"/>
    <w:rsid w:val="1721452E"/>
    <w:rsid w:val="1A0755D3"/>
    <w:rsid w:val="1A20670E"/>
    <w:rsid w:val="1B65407A"/>
    <w:rsid w:val="1BBF0739"/>
    <w:rsid w:val="1FB55779"/>
    <w:rsid w:val="20C365AA"/>
    <w:rsid w:val="236B3EFD"/>
    <w:rsid w:val="23A401F3"/>
    <w:rsid w:val="24A74411"/>
    <w:rsid w:val="24CE6DE0"/>
    <w:rsid w:val="250F67FF"/>
    <w:rsid w:val="262027F4"/>
    <w:rsid w:val="26384D6A"/>
    <w:rsid w:val="267366EE"/>
    <w:rsid w:val="27210CDD"/>
    <w:rsid w:val="27991BCE"/>
    <w:rsid w:val="27EC4949"/>
    <w:rsid w:val="27F43A2B"/>
    <w:rsid w:val="28882B25"/>
    <w:rsid w:val="28CB2CC2"/>
    <w:rsid w:val="292B4709"/>
    <w:rsid w:val="2A477052"/>
    <w:rsid w:val="2A761913"/>
    <w:rsid w:val="2BBD73D9"/>
    <w:rsid w:val="2D8E1A46"/>
    <w:rsid w:val="2E546549"/>
    <w:rsid w:val="2F1360E3"/>
    <w:rsid w:val="313A7956"/>
    <w:rsid w:val="318D5DF1"/>
    <w:rsid w:val="346930B5"/>
    <w:rsid w:val="35882E67"/>
    <w:rsid w:val="36E84106"/>
    <w:rsid w:val="3A113CD3"/>
    <w:rsid w:val="3C245575"/>
    <w:rsid w:val="3D5A01C3"/>
    <w:rsid w:val="3E0C25B9"/>
    <w:rsid w:val="40702162"/>
    <w:rsid w:val="421F7F18"/>
    <w:rsid w:val="42287091"/>
    <w:rsid w:val="42A74992"/>
    <w:rsid w:val="42AA5B4D"/>
    <w:rsid w:val="42F92930"/>
    <w:rsid w:val="448418C2"/>
    <w:rsid w:val="44B8767B"/>
    <w:rsid w:val="45E0761C"/>
    <w:rsid w:val="465F20DE"/>
    <w:rsid w:val="46A34DEF"/>
    <w:rsid w:val="470A5C29"/>
    <w:rsid w:val="48014218"/>
    <w:rsid w:val="484411A6"/>
    <w:rsid w:val="48C722E2"/>
    <w:rsid w:val="4A934A16"/>
    <w:rsid w:val="4AB4670A"/>
    <w:rsid w:val="4BB560A9"/>
    <w:rsid w:val="4C603508"/>
    <w:rsid w:val="503532D5"/>
    <w:rsid w:val="5035544E"/>
    <w:rsid w:val="505A1117"/>
    <w:rsid w:val="53A72321"/>
    <w:rsid w:val="54513CD6"/>
    <w:rsid w:val="55B65519"/>
    <w:rsid w:val="56B72361"/>
    <w:rsid w:val="596D42AF"/>
    <w:rsid w:val="5A0008B8"/>
    <w:rsid w:val="5A6D694E"/>
    <w:rsid w:val="5AFF20BA"/>
    <w:rsid w:val="5BC3757F"/>
    <w:rsid w:val="5D620359"/>
    <w:rsid w:val="5E0529D6"/>
    <w:rsid w:val="5E7E7451"/>
    <w:rsid w:val="5EA308D7"/>
    <w:rsid w:val="5F447033"/>
    <w:rsid w:val="5FC3108A"/>
    <w:rsid w:val="608012C0"/>
    <w:rsid w:val="62136766"/>
    <w:rsid w:val="62390A19"/>
    <w:rsid w:val="628A00B4"/>
    <w:rsid w:val="644B2E76"/>
    <w:rsid w:val="648C5E8C"/>
    <w:rsid w:val="650A0A3E"/>
    <w:rsid w:val="65A753C3"/>
    <w:rsid w:val="66314540"/>
    <w:rsid w:val="67EA7083"/>
    <w:rsid w:val="68BB1416"/>
    <w:rsid w:val="6B7B5F02"/>
    <w:rsid w:val="6BAC0D39"/>
    <w:rsid w:val="6BCC4A91"/>
    <w:rsid w:val="6CF426B0"/>
    <w:rsid w:val="6D881782"/>
    <w:rsid w:val="6D9A5831"/>
    <w:rsid w:val="6F271A08"/>
    <w:rsid w:val="70262E8E"/>
    <w:rsid w:val="72D23B8D"/>
    <w:rsid w:val="731F4455"/>
    <w:rsid w:val="73321552"/>
    <w:rsid w:val="7336604D"/>
    <w:rsid w:val="73C74579"/>
    <w:rsid w:val="747C4548"/>
    <w:rsid w:val="750E5829"/>
    <w:rsid w:val="768222BC"/>
    <w:rsid w:val="77B973A8"/>
    <w:rsid w:val="781946EE"/>
    <w:rsid w:val="78AC12AF"/>
    <w:rsid w:val="79811B17"/>
    <w:rsid w:val="7A830CB6"/>
    <w:rsid w:val="7AC005C1"/>
    <w:rsid w:val="7AD34B82"/>
    <w:rsid w:val="7B2B5ADA"/>
    <w:rsid w:val="7BEC57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0</TotalTime>
  <ScaleCrop>false</ScaleCrop>
  <LinksUpToDate>false</LinksUpToDate>
  <CharactersWithSpaces>3169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SID0809</cp:lastModifiedBy>
  <cp:lastPrinted>2017-07-26T09:13:00Z</cp:lastPrinted>
  <dcterms:modified xsi:type="dcterms:W3CDTF">2021-02-22T08:49:07Z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2052-11.3.0.9228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