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TTL</w:t>
            </w:r>
            <w:r>
              <w:rPr>
                <w:rFonts w:hint="eastAsia"/>
                <w:b/>
                <w:bCs/>
                <w:sz w:val="72"/>
                <w:szCs w:val="72"/>
              </w:rPr>
              <w:t>型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土壤温湿度</w:t>
            </w:r>
            <w:r>
              <w:rPr>
                <w:rFonts w:hint="eastAsia"/>
                <w:b/>
                <w:bCs/>
                <w:sz w:val="72"/>
                <w:szCs w:val="72"/>
              </w:rPr>
              <w:t>变送器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EC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9570"/>
      <w:bookmarkStart w:id="1" w:name="_Toc447699485"/>
    </w:p>
    <w:p>
      <w:pPr>
        <w:jc w:val="left"/>
        <w:rPr>
          <w:sz w:val="72"/>
          <w:szCs w:val="72"/>
        </w:rPr>
      </w:pPr>
      <w:r>
        <w:rPr>
          <w:sz w:val="72"/>
          <w:szCs w:val="7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4997450" cy="7346950"/>
            <wp:effectExtent l="0" t="0" r="0" b="0"/>
            <wp:wrapNone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6800" cy="73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8392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b/>
          <w:bCs/>
          <w:sz w:val="30"/>
          <w:szCs w:val="30"/>
        </w:rPr>
        <w:t xml:space="preserve"> </w:t>
      </w:r>
    </w:p>
    <w:p>
      <w:pPr>
        <w:pStyle w:val="2"/>
      </w:pPr>
      <w:r>
        <w:t>产品简介</w:t>
      </w:r>
      <w:bookmarkEnd w:id="0"/>
      <w:bookmarkEnd w:id="1"/>
    </w:p>
    <w:p>
      <w:pPr>
        <w:pStyle w:val="3"/>
      </w:pPr>
      <w:bookmarkStart w:id="2" w:name="_Toc447699486"/>
      <w:bookmarkStart w:id="3" w:name="_Toc9769"/>
      <w:r>
        <w:t>产品概述</w:t>
      </w:r>
      <w:bookmarkEnd w:id="2"/>
      <w:bookmarkEnd w:id="3"/>
    </w:p>
    <w:p>
      <w:pPr>
        <w:rPr>
          <w:rFonts w:hint="eastAsia"/>
          <w:spacing w:val="-2"/>
        </w:rPr>
      </w:pPr>
      <w:bookmarkStart w:id="4" w:name="_Toc27250"/>
      <w:bookmarkStart w:id="5" w:name="_Toc447699487"/>
      <w:r>
        <w:rPr>
          <w:lang w:eastAsia="zh-CN"/>
        </w:rPr>
        <w:t>土壤水分温度传感器</w:t>
      </w:r>
      <w:r>
        <w:t>适</w:t>
      </w:r>
      <w:r>
        <w:rPr>
          <w:spacing w:val="-5"/>
        </w:rPr>
        <w:t>用</w:t>
      </w:r>
      <w:r>
        <w:t>于土壤</w:t>
      </w:r>
      <w:r>
        <w:rPr>
          <w:spacing w:val="-5"/>
        </w:rPr>
        <w:t>温</w:t>
      </w:r>
      <w:r>
        <w:t>度以及</w:t>
      </w:r>
      <w:r>
        <w:rPr>
          <w:spacing w:val="-5"/>
        </w:rPr>
        <w:t>水</w:t>
      </w:r>
      <w:r>
        <w:t>分的测量</w:t>
      </w:r>
      <w:r>
        <w:rPr>
          <w:spacing w:val="-96"/>
        </w:rPr>
        <w:t>，</w:t>
      </w:r>
      <w:r>
        <w:t>经</w:t>
      </w:r>
      <w:r>
        <w:rPr>
          <w:spacing w:val="-5"/>
        </w:rPr>
        <w:t>与</w:t>
      </w:r>
      <w:r>
        <w:t>德国原</w:t>
      </w:r>
      <w:r>
        <w:rPr>
          <w:spacing w:val="-5"/>
        </w:rPr>
        <w:t>装</w:t>
      </w:r>
      <w:r>
        <w:t>高精度</w:t>
      </w:r>
      <w:r>
        <w:rPr>
          <w:spacing w:val="-5"/>
        </w:rPr>
        <w:t>传</w:t>
      </w:r>
      <w:r>
        <w:t>感器比</w:t>
      </w:r>
      <w:r>
        <w:rPr>
          <w:spacing w:val="-5"/>
        </w:rPr>
        <w:t>较</w:t>
      </w:r>
      <w:r>
        <w:t>和土壤</w:t>
      </w:r>
      <w:r>
        <w:rPr>
          <w:spacing w:val="-5"/>
        </w:rPr>
        <w:t>实</w:t>
      </w:r>
      <w:r>
        <w:t>际烘干</w:t>
      </w:r>
      <w:r>
        <w:rPr>
          <w:spacing w:val="-5"/>
        </w:rPr>
        <w:t>称</w:t>
      </w:r>
      <w:r>
        <w:t>重</w:t>
      </w:r>
      <w:r>
        <w:rPr>
          <w:spacing w:val="-4"/>
        </w:rPr>
        <w:t>法标定，精度高，响应快，输出稳定。受土壤含盐量影响较小，适用于各种土质。可长期埋</w:t>
      </w:r>
      <w:r>
        <w:rPr>
          <w:spacing w:val="-2"/>
        </w:rPr>
        <w:t>入土壤中，耐长期电解，耐腐蚀，抽真空灌封，完全防水。</w:t>
      </w:r>
    </w:p>
    <w:p>
      <w:pPr>
        <w:pStyle w:val="3"/>
      </w:pPr>
      <w:r>
        <w:t>功能特点</w:t>
      </w:r>
      <w:bookmarkEnd w:id="4"/>
      <w:bookmarkEnd w:id="5"/>
    </w:p>
    <w:p>
      <w:pPr>
        <w:pStyle w:val="16"/>
        <w:spacing w:after="0" w:line="320" w:lineRule="exact"/>
        <w:ind w:firstLine="482"/>
        <w:rPr>
          <w:spacing w:val="-4"/>
          <w:kern w:val="2"/>
          <w:lang w:val="en-US" w:eastAsia="zh-CN"/>
        </w:rPr>
      </w:pPr>
      <w:bookmarkStart w:id="6" w:name="_Toc28848"/>
      <w:r>
        <w:rPr>
          <w:spacing w:val="-4"/>
          <w:kern w:val="2"/>
          <w:lang w:val="en-US" w:eastAsia="zh-CN"/>
        </w:rPr>
        <w:t>广泛适用于科学实验、节水灌溉、温室大棚、花卉蔬菜、草地牧场、土壤速测、植物培养、污水处理、</w:t>
      </w:r>
      <w:r>
        <w:rPr>
          <w:rFonts w:hint="eastAsia"/>
          <w:spacing w:val="-4"/>
          <w:kern w:val="2"/>
          <w:lang w:val="en-US" w:eastAsia="zh-CN"/>
        </w:rPr>
        <w:t>电导率</w:t>
      </w:r>
      <w:r>
        <w:rPr>
          <w:spacing w:val="-4"/>
          <w:kern w:val="2"/>
          <w:lang w:val="en-US" w:eastAsia="zh-CN"/>
        </w:rPr>
        <w:t>的测量。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</w:pPr>
      <w:r>
        <w:t>主要参数</w:t>
      </w:r>
      <w:bookmarkEnd w:id="6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rPr>
          <w:rFonts w:hint="eastAsia"/>
          <w:lang w:val="en-US" w:eastAsia="zh-CN"/>
        </w:rPr>
        <w:t>基本参数</w:t>
      </w:r>
    </w:p>
    <w:tbl>
      <w:tblPr>
        <w:tblStyle w:val="37"/>
        <w:tblW w:w="0" w:type="auto"/>
        <w:jc w:val="center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2"/>
        <w:gridCol w:w="4600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bookmarkStart w:id="7" w:name="_Toc18758"/>
            <w:bookmarkStart w:id="8" w:name="_Toc11019"/>
            <w:r>
              <w:rPr>
                <w:b/>
              </w:rPr>
              <w:t>参数</w:t>
            </w:r>
          </w:p>
        </w:tc>
        <w:tc>
          <w:tcPr>
            <w:tcW w:w="4600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内容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tcBorders>
              <w:top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供电电源</w:t>
            </w:r>
          </w:p>
        </w:tc>
        <w:tc>
          <w:tcPr>
            <w:tcW w:w="4600" w:type="dxa"/>
            <w:tcBorders>
              <w:top w:val="single" w:color="000000" w:sz="8" w:space="0"/>
            </w:tcBorders>
            <w:shd w:val="clear" w:color="auto" w:fill="auto"/>
            <w:noWrap w:val="0"/>
            <w:vAlign w:val="top"/>
          </w:tcPr>
          <w:p>
            <w:r>
              <w:t>12-</w:t>
            </w:r>
            <w:r>
              <w:rPr>
                <w:rFonts w:eastAsia="Times New Roman"/>
              </w:rPr>
              <w:t>24V</w:t>
            </w:r>
            <w:r>
              <w:rPr>
                <w:rFonts w:hint="eastAsia"/>
              </w:rPr>
              <w:t xml:space="preserve"> </w:t>
            </w:r>
            <w:r>
              <w:rPr>
                <w:rFonts w:eastAsia="Times New Roman"/>
              </w:rPr>
              <w:t>DC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输出方式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TTL输出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Times New Roman" w:hAnsi="Times New Roman" w:eastAsia="宋体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b/>
                <w:szCs w:val="24"/>
              </w:rPr>
              <w:t>温度测量范围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Times New Roman" w:hAnsi="Times New Roman" w:eastAsia="Times New Roman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eastAsia="Times New Roman"/>
                <w:spacing w:val="-1"/>
                <w:szCs w:val="24"/>
              </w:rPr>
              <w:t>-</w:t>
            </w:r>
            <w:r>
              <w:rPr>
                <w:rFonts w:hint="eastAsia"/>
                <w:spacing w:val="-1"/>
                <w:szCs w:val="24"/>
              </w:rPr>
              <w:t>40</w:t>
            </w:r>
            <w:r>
              <w:rPr>
                <w:rFonts w:hAnsi="宋体"/>
                <w:spacing w:val="-1"/>
                <w:szCs w:val="24"/>
              </w:rPr>
              <w:t>℃</w:t>
            </w:r>
            <w:r>
              <w:rPr>
                <w:rFonts w:hint="eastAsia"/>
                <w:spacing w:val="-1"/>
                <w:szCs w:val="24"/>
              </w:rPr>
              <w:t>-</w:t>
            </w:r>
            <w:r>
              <w:rPr>
                <w:spacing w:val="-1"/>
                <w:szCs w:val="24"/>
              </w:rPr>
              <w:t>8</w:t>
            </w:r>
            <w:r>
              <w:rPr>
                <w:rFonts w:hint="eastAsia"/>
                <w:spacing w:val="-1"/>
                <w:szCs w:val="24"/>
              </w:rPr>
              <w:t>0</w:t>
            </w:r>
            <w:r>
              <w:rPr>
                <w:rFonts w:hAnsi="宋体"/>
                <w:spacing w:val="-1"/>
                <w:szCs w:val="24"/>
              </w:rPr>
              <w:t>℃</w:t>
            </w:r>
            <w:r>
              <w:rPr>
                <w:rFonts w:hint="eastAsia" w:hAnsi="宋体"/>
                <w:spacing w:val="-1"/>
                <w:szCs w:val="24"/>
              </w:rPr>
              <w:t>(可定制)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水分测量范围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pPr>
              <w:rPr>
                <w:rFonts w:eastAsia="Times New Roman"/>
                <w:spacing w:val="-1"/>
                <w:szCs w:val="24"/>
              </w:rPr>
            </w:pPr>
            <w:r>
              <w:rPr>
                <w:rFonts w:eastAsia="Times New Roman"/>
                <w:szCs w:val="24"/>
              </w:rPr>
              <w:t>0</w:t>
            </w:r>
            <w:r>
              <w:rPr>
                <w:rFonts w:hint="eastAsia"/>
                <w:szCs w:val="24"/>
              </w:rPr>
              <w:t>-</w:t>
            </w:r>
            <w:r>
              <w:rPr>
                <w:rFonts w:eastAsia="Times New Roman"/>
                <w:szCs w:val="24"/>
              </w:rPr>
              <w:t>100%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温度精度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pPr>
              <w:rPr>
                <w:rFonts w:eastAsia="Times New Roman"/>
              </w:rPr>
            </w:pPr>
            <w:r>
              <w:rPr>
                <w:szCs w:val="24"/>
              </w:rPr>
              <w:t>±</w:t>
            </w:r>
            <w:r>
              <w:rPr>
                <w:rFonts w:eastAsia="Times New Roman"/>
                <w:szCs w:val="24"/>
              </w:rPr>
              <w:t>0.5</w:t>
            </w:r>
            <w:r>
              <w:rPr>
                <w:rFonts w:hAnsi="宋体"/>
                <w:szCs w:val="24"/>
              </w:rPr>
              <w:t>℃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存储环境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r>
              <w:rPr>
                <w:rFonts w:eastAsia="Times New Roman"/>
              </w:rPr>
              <w:t>-45</w:t>
            </w:r>
            <w:r>
              <w:rPr>
                <w:rFonts w:hAnsi="宋体"/>
              </w:rPr>
              <w:t>℃</w:t>
            </w:r>
            <w:r>
              <w:rPr>
                <w:rFonts w:hint="eastAsia"/>
              </w:rPr>
              <w:t>-</w:t>
            </w:r>
            <w:r>
              <w:rPr>
                <w:rFonts w:eastAsia="Times New Roman"/>
              </w:rPr>
              <w:t>115</w:t>
            </w:r>
            <w:r>
              <w:rPr>
                <w:rFonts w:hAnsi="宋体"/>
              </w:rPr>
              <w:t>℃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响应时间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r>
              <w:t>&lt;1s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安装方式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r>
              <w:t>全部埋入或探针全部插入被测介质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防护等级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r>
              <w:t xml:space="preserve">IP68 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耗电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&lt;1.15W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tcBorders>
              <w:bottom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工作压力范围</w:t>
            </w:r>
          </w:p>
        </w:tc>
        <w:tc>
          <w:tcPr>
            <w:tcW w:w="4600" w:type="dxa"/>
            <w:tcBorders>
              <w:bottom w:val="single" w:color="000000" w:sz="8" w:space="0"/>
            </w:tcBorders>
            <w:shd w:val="clear" w:color="auto" w:fill="auto"/>
            <w:noWrap w:val="0"/>
            <w:vAlign w:val="top"/>
          </w:tcPr>
          <w:p>
            <w:r>
              <w:rPr>
                <w:rFonts w:hint="eastAsia"/>
              </w:rPr>
              <w:t>0.9-1.1atm</w:t>
            </w:r>
          </w:p>
        </w:tc>
      </w:tr>
    </w:tbl>
    <w:p>
      <w:pPr>
        <w:ind w:firstLine="498" w:firstLineChars="200"/>
        <w:rPr>
          <w:rFonts w:hint="eastAsia"/>
        </w:rPr>
      </w:pPr>
      <w:r>
        <w:t>测量结冻冰土层时，水分值会偏低不准确，需要用户补偿</w:t>
      </w:r>
      <w:r>
        <w:rPr>
          <w:rFonts w:hint="eastAsia"/>
        </w:rPr>
        <w:t>。</w:t>
      </w:r>
    </w:p>
    <w:p>
      <w:pPr>
        <w:ind w:firstLine="498" w:firstLineChars="200"/>
      </w:pPr>
      <w:r>
        <w:rPr>
          <w:rFonts w:hint="eastAsia"/>
        </w:rPr>
        <w:t>出厂默认产品适用于测量普通的黄土地、黑土地、红土地。不适用于对于盐分较大的盐碱地、沙地、或者其他粉末状物体的绝对水分测量，单仍可以表征相对水分差别，对于这类型的水分测量应联系厂家做单独校准。</w:t>
      </w:r>
    </w:p>
    <w:bookmarkEnd w:id="7"/>
    <w:bookmarkEnd w:id="8"/>
    <w:p>
      <w:pPr>
        <w:pStyle w:val="4"/>
        <w:spacing w:line="320" w:lineRule="exact"/>
        <w:rPr>
          <w:rFonts w:hint="default" w:hAnsi="宋体" w:eastAsia="宋体"/>
          <w:szCs w:val="24"/>
          <w:lang w:val="en-US" w:eastAsia="zh-CN"/>
        </w:rPr>
      </w:pPr>
    </w:p>
    <w:p>
      <w:pPr>
        <w:pStyle w:val="3"/>
      </w:pPr>
      <w:bookmarkStart w:id="9" w:name="_Toc14200"/>
      <w:r>
        <w:t>系统框架图</w:t>
      </w:r>
      <w:bookmarkEnd w:id="9"/>
    </w:p>
    <w:p>
      <w:pPr>
        <w:ind w:firstLine="576"/>
      </w:pPr>
      <w:r>
        <w:rPr>
          <w:rFonts w:hint="eastAsia"/>
        </w:rPr>
        <w:t>本传感器可以连接单独使用，首先使用12V直流电源供电，设备可以直接连接带有</w:t>
      </w:r>
      <w:r>
        <w:rPr>
          <w:rFonts w:hint="eastAsia"/>
          <w:lang w:val="en-US" w:eastAsia="zh-CN"/>
        </w:rPr>
        <w:t>TTL输出</w:t>
      </w:r>
      <w:r>
        <w:rPr>
          <w:rFonts w:hint="eastAsia"/>
        </w:rPr>
        <w:t>接口的PLC，可以通过</w:t>
      </w:r>
      <w:r>
        <w:rPr>
          <w:rFonts w:hint="eastAsia"/>
          <w:lang w:eastAsia="zh-CN"/>
        </w:rPr>
        <w:t>TTL输出</w:t>
      </w:r>
      <w:r>
        <w:rPr>
          <w:rFonts w:hint="eastAsia"/>
        </w:rPr>
        <w:t>接口芯片连接单片机。通过后文指定的modbus协议对单片机和PLC进行编程即可配合传感器使用。同时使用USB转</w:t>
      </w:r>
      <w:r>
        <w:rPr>
          <w:rFonts w:hint="eastAsia"/>
          <w:lang w:eastAsia="zh-CN"/>
        </w:rPr>
        <w:t>TTL输出</w:t>
      </w:r>
      <w:r>
        <w:rPr>
          <w:rFonts w:hint="eastAsia"/>
        </w:rPr>
        <w:t>即可与电脑连接，使用我公司提供的传感器配置工具进行配置和测试。</w:t>
      </w:r>
    </w:p>
    <w:p>
      <w:pPr>
        <w:jc w:val="center"/>
        <w:rPr>
          <w:rFonts w:hint="eastAsia" w:eastAsia="宋体"/>
          <w:color w:val="FF0000"/>
          <w:lang w:eastAsia="zh-CN"/>
        </w:rPr>
      </w:pPr>
      <w:r>
        <w:rPr>
          <w:rFonts w:hint="eastAsia" w:eastAsia="宋体"/>
          <w:color w:val="FF0000"/>
          <w:lang w:eastAsia="zh-CN"/>
        </w:rPr>
        <w:drawing>
          <wp:inline distT="0" distB="0" distL="114300" distR="114300">
            <wp:extent cx="4048125" cy="3219450"/>
            <wp:effectExtent l="0" t="0" r="9525" b="0"/>
            <wp:docPr id="2" name="图片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230370" cy="5617845"/>
            <wp:effectExtent l="0" t="0" r="17780" b="1905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30370" cy="561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10" w:name="_Toc4148"/>
      <w:bookmarkEnd w:id="10"/>
      <w:r>
        <w:t>硬件连接</w:t>
      </w:r>
    </w:p>
    <w:p>
      <w:pPr>
        <w:pStyle w:val="3"/>
        <w:spacing w:before="20" w:after="20"/>
        <w:ind w:left="578" w:hanging="578"/>
        <w:rPr>
          <w:rFonts w:hint="eastAsia"/>
        </w:rPr>
      </w:pPr>
      <w:bookmarkStart w:id="11" w:name="_Toc14785"/>
      <w:r>
        <w:rPr>
          <w:rFonts w:hint="eastAsia"/>
        </w:rPr>
        <w:t>设备安装前检查</w:t>
      </w:r>
      <w:bookmarkEnd w:id="11"/>
    </w:p>
    <w:p>
      <w:pPr>
        <w:spacing w:line="320" w:lineRule="exact"/>
        <w:ind w:firstLine="487" w:firstLineChars="196"/>
        <w:rPr>
          <w:rFonts w:hint="eastAsia"/>
        </w:rPr>
      </w:pPr>
      <w:r>
        <w:rPr>
          <w:rFonts w:hint="eastAsia"/>
        </w:rPr>
        <w:t>安装设备前请检查设备清单：</w:t>
      </w:r>
    </w:p>
    <w:tbl>
      <w:tblPr>
        <w:tblStyle w:val="37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土壤</w:t>
            </w:r>
            <w:r>
              <w:rPr>
                <w:b/>
              </w:rPr>
              <w:t>变送器设备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2" w:type="dxa"/>
            <w:tcBorders>
              <w:bottom w:val="nil"/>
            </w:tcBorders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12V防水电源</w:t>
            </w:r>
          </w:p>
        </w:tc>
        <w:tc>
          <w:tcPr>
            <w:tcW w:w="1649" w:type="dxa"/>
            <w:tcBorders>
              <w:bottom w:val="nil"/>
            </w:tcBorders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2" w:type="dxa"/>
            <w:tcBorders>
              <w:top w:val="nil"/>
              <w:bottom w:val="single" w:color="000000" w:sz="8" w:space="0"/>
            </w:tcBorders>
            <w:shd w:val="pct25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保修卡/合格证</w:t>
            </w:r>
          </w:p>
        </w:tc>
        <w:tc>
          <w:tcPr>
            <w:tcW w:w="1649" w:type="dxa"/>
            <w:tcBorders>
              <w:top w:val="nil"/>
              <w:bottom w:val="single" w:color="000000" w:sz="8" w:space="0"/>
            </w:tcBorders>
            <w:shd w:val="pct25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1份</w:t>
            </w:r>
          </w:p>
        </w:tc>
      </w:tr>
    </w:tbl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接口说明</w:t>
      </w:r>
    </w:p>
    <w:p>
      <w:pPr>
        <w:spacing w:line="320" w:lineRule="exact"/>
        <w:ind w:firstLine="487" w:firstLineChars="196"/>
        <w:rPr>
          <w:rFonts w:hint="eastAsia"/>
        </w:rPr>
      </w:pPr>
      <w:r>
        <w:rPr>
          <w:rFonts w:hint="eastAsia"/>
        </w:rPr>
        <w:t>电源接口为宽电压电源输入 12-24V 均可。模拟量型产品注意信号线正负，不要将电流/电压信号线的正负接反。</w:t>
      </w:r>
    </w:p>
    <w:p>
      <w:pPr>
        <w:spacing w:line="360" w:lineRule="auto"/>
        <w:ind w:firstLine="498" w:firstLineChars="200"/>
        <w:jc w:val="center"/>
        <w:rPr>
          <w:rFonts w:hint="eastAsia"/>
        </w:rPr>
      </w:pPr>
      <w:r>
        <w:drawing>
          <wp:inline distT="0" distB="0" distL="114300" distR="114300">
            <wp:extent cx="3362325" cy="1398905"/>
            <wp:effectExtent l="0" t="0" r="9525" b="10795"/>
            <wp:docPr id="3" name="图片 1" descr="土壤温湿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土壤温湿度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37"/>
        <w:tblW w:w="0" w:type="auto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337"/>
        <w:gridCol w:w="256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33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线色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电源</w:t>
            </w:r>
          </w:p>
        </w:tc>
        <w:tc>
          <w:tcPr>
            <w:tcW w:w="133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棕色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电源正（12-24VDC）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33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黑色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电源负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GND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33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蓝色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RXD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33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黄色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TXD</w:t>
            </w:r>
          </w:p>
        </w:tc>
      </w:tr>
    </w:tbl>
    <w:p>
      <w:pPr>
        <w:ind w:firstLine="498" w:firstLineChars="200"/>
        <w:rPr>
          <w:rFonts w:hint="eastAsia"/>
          <w:b/>
          <w:u w:val="single"/>
        </w:rPr>
      </w:pPr>
      <w:r>
        <w:rPr>
          <w:rFonts w:hint="eastAsia"/>
        </w:rPr>
        <w:t>注意事项：请注意不要接错线序，错误的接线会导致设备烧毁。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出厂默认提供1.25米长线材 ，客户可根据需要按需延长线材或者顺次接线。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注意在某些出厂批次中可能提供的线序中没有黄色线，此时灰色线等价替换黄色线作用。</w:t>
      </w:r>
    </w:p>
    <w:p>
      <w:pPr>
        <w:pStyle w:val="3"/>
        <w:spacing w:before="20" w:after="20"/>
        <w:ind w:left="578" w:hanging="578"/>
      </w:pPr>
      <w:bookmarkStart w:id="12" w:name="_Toc24168"/>
      <w:r>
        <w:rPr>
          <w:spacing w:val="2"/>
        </w:rPr>
        <w:t>速测方法</w:t>
      </w:r>
      <w:bookmarkEnd w:id="12"/>
    </w:p>
    <w:p>
      <w:pPr>
        <w:pStyle w:val="16"/>
        <w:spacing w:after="0" w:line="320" w:lineRule="exact"/>
        <w:ind w:firstLine="498"/>
        <w:rPr>
          <w:lang w:val="en-US" w:eastAsia="zh-CN"/>
        </w:rPr>
      </w:pPr>
      <w:r>
        <w:t>选定</w:t>
      </w:r>
      <w:r>
        <w:rPr>
          <w:spacing w:val="-5"/>
        </w:rPr>
        <w:t>合</w:t>
      </w:r>
      <w:r>
        <w:t>适的测</w:t>
      </w:r>
      <w:r>
        <w:rPr>
          <w:spacing w:val="-5"/>
        </w:rPr>
        <w:t>量</w:t>
      </w:r>
      <w:r>
        <w:t>地点</w:t>
      </w:r>
      <w:r>
        <w:rPr>
          <w:spacing w:val="-29"/>
        </w:rPr>
        <w:t>，</w:t>
      </w:r>
      <w:r>
        <w:t>避开</w:t>
      </w:r>
      <w:r>
        <w:rPr>
          <w:spacing w:val="-5"/>
        </w:rPr>
        <w:t>石</w:t>
      </w:r>
      <w:r>
        <w:t>块</w:t>
      </w:r>
      <w:r>
        <w:rPr>
          <w:spacing w:val="-34"/>
        </w:rPr>
        <w:t>，</w:t>
      </w:r>
      <w:r>
        <w:t>确保</w:t>
      </w:r>
      <w:r>
        <w:rPr>
          <w:spacing w:val="-5"/>
        </w:rPr>
        <w:t>钢</w:t>
      </w:r>
      <w:r>
        <w:t>针不会</w:t>
      </w:r>
      <w:r>
        <w:rPr>
          <w:spacing w:val="-5"/>
        </w:rPr>
        <w:t>碰</w:t>
      </w:r>
      <w:r>
        <w:t>到坚硬</w:t>
      </w:r>
      <w:r>
        <w:rPr>
          <w:spacing w:val="-5"/>
        </w:rPr>
        <w:t>的</w:t>
      </w:r>
      <w:r>
        <w:t>物体</w:t>
      </w:r>
      <w:r>
        <w:rPr>
          <w:spacing w:val="-34"/>
        </w:rPr>
        <w:t>，</w:t>
      </w:r>
      <w:r>
        <w:t>按照</w:t>
      </w:r>
      <w:r>
        <w:rPr>
          <w:spacing w:val="-5"/>
        </w:rPr>
        <w:t>所</w:t>
      </w:r>
      <w:r>
        <w:t>需测量</w:t>
      </w:r>
      <w:r>
        <w:rPr>
          <w:spacing w:val="-5"/>
        </w:rPr>
        <w:t>深</w:t>
      </w:r>
      <w:r>
        <w:t>度抛开表</w:t>
      </w:r>
      <w:r>
        <w:rPr>
          <w:spacing w:val="-5"/>
        </w:rPr>
        <w:t>层</w:t>
      </w:r>
      <w:r>
        <w:t>土</w:t>
      </w:r>
      <w:r>
        <w:rPr>
          <w:spacing w:val="-67"/>
        </w:rPr>
        <w:t>，</w:t>
      </w:r>
      <w:r>
        <w:t>保持</w:t>
      </w:r>
      <w:r>
        <w:rPr>
          <w:spacing w:val="-5"/>
        </w:rPr>
        <w:t>下</w:t>
      </w:r>
      <w:r>
        <w:t>面土壤</w:t>
      </w:r>
      <w:r>
        <w:rPr>
          <w:spacing w:val="-5"/>
        </w:rPr>
        <w:t>原</w:t>
      </w:r>
      <w:r>
        <w:t>有的松</w:t>
      </w:r>
      <w:r>
        <w:rPr>
          <w:spacing w:val="-5"/>
        </w:rPr>
        <w:t>紧</w:t>
      </w:r>
      <w:r>
        <w:t>程度</w:t>
      </w:r>
      <w:r>
        <w:rPr>
          <w:spacing w:val="-67"/>
        </w:rPr>
        <w:t>，</w:t>
      </w:r>
      <w:r>
        <w:t>紧握</w:t>
      </w:r>
      <w:r>
        <w:rPr>
          <w:spacing w:val="-5"/>
        </w:rPr>
        <w:t>传</w:t>
      </w:r>
      <w:r>
        <w:t>感器垂</w:t>
      </w:r>
      <w:r>
        <w:rPr>
          <w:spacing w:val="-5"/>
        </w:rPr>
        <w:t>直</w:t>
      </w:r>
      <w:r>
        <w:t>插入土</w:t>
      </w:r>
      <w:r>
        <w:rPr>
          <w:spacing w:val="-5"/>
        </w:rPr>
        <w:t>壤</w:t>
      </w:r>
      <w:r>
        <w:rPr>
          <w:spacing w:val="-67"/>
        </w:rPr>
        <w:t>，</w:t>
      </w:r>
      <w:r>
        <w:t>插入</w:t>
      </w:r>
      <w:r>
        <w:rPr>
          <w:spacing w:val="-5"/>
        </w:rPr>
        <w:t>时</w:t>
      </w:r>
      <w:r>
        <w:t>不可左</w:t>
      </w:r>
      <w:r>
        <w:rPr>
          <w:spacing w:val="-5"/>
        </w:rPr>
        <w:t>右</w:t>
      </w:r>
      <w:r>
        <w:t>晃动</w:t>
      </w:r>
      <w:r>
        <w:rPr>
          <w:lang w:val="en-US" w:eastAsia="zh-CN"/>
        </w:rPr>
        <w:t>,</w:t>
      </w:r>
      <w:r>
        <w:rPr>
          <w:spacing w:val="-2"/>
        </w:rPr>
        <w:t>一个测点的小范围内建议多次测量求平均值。</w:t>
      </w:r>
    </w:p>
    <w:p>
      <w:pPr>
        <w:pStyle w:val="3"/>
        <w:spacing w:before="20" w:after="20"/>
        <w:ind w:left="578" w:hanging="578"/>
      </w:pPr>
      <w:bookmarkStart w:id="13" w:name="_Toc22793"/>
      <w:r>
        <w:t>埋地测量法</w:t>
      </w:r>
      <w:bookmarkEnd w:id="13"/>
    </w:p>
    <w:p>
      <w:pPr>
        <w:pStyle w:val="16"/>
        <w:spacing w:after="0" w:line="320" w:lineRule="exact"/>
        <w:ind w:firstLine="498"/>
        <w:rPr>
          <w:lang w:val="en-US" w:eastAsia="zh-CN"/>
        </w:rPr>
      </w:pPr>
      <w:r>
        <w:t>垂直</w:t>
      </w:r>
      <w:r>
        <w:rPr>
          <w:spacing w:val="-5"/>
        </w:rPr>
        <w:t>挖</w:t>
      </w:r>
      <w:r>
        <w:t>直径</w:t>
      </w:r>
      <w:r>
        <w:rPr>
          <w:rFonts w:eastAsia="Times New Roman"/>
          <w:spacing w:val="1"/>
        </w:rPr>
        <w:t>&gt;</w:t>
      </w:r>
      <w:r>
        <w:rPr>
          <w:rFonts w:eastAsia="Times New Roman"/>
        </w:rPr>
        <w:t>20</w:t>
      </w:r>
      <w:r>
        <w:rPr>
          <w:rFonts w:eastAsia="Times New Roman"/>
          <w:spacing w:val="-3"/>
        </w:rPr>
        <w:t>c</w:t>
      </w:r>
      <w:r>
        <w:rPr>
          <w:rFonts w:eastAsia="Times New Roman"/>
        </w:rPr>
        <w:t>m</w:t>
      </w:r>
      <w:r>
        <w:rPr>
          <w:rFonts w:eastAsia="Times New Roman"/>
          <w:spacing w:val="-1"/>
        </w:rPr>
        <w:t xml:space="preserve"> </w:t>
      </w:r>
      <w:r>
        <w:t>的</w:t>
      </w:r>
      <w:r>
        <w:rPr>
          <w:spacing w:val="-5"/>
        </w:rPr>
        <w:t>坑</w:t>
      </w:r>
      <w:r>
        <w:rPr>
          <w:spacing w:val="-34"/>
        </w:rPr>
        <w:t>，</w:t>
      </w:r>
      <w:r>
        <w:t>在既定</w:t>
      </w:r>
      <w:r>
        <w:rPr>
          <w:spacing w:val="-5"/>
        </w:rPr>
        <w:t>的</w:t>
      </w:r>
      <w:r>
        <w:t>深度将</w:t>
      </w:r>
      <w:r>
        <w:rPr>
          <w:spacing w:val="-5"/>
        </w:rPr>
        <w:t>传</w:t>
      </w:r>
      <w:r>
        <w:t>感器钢</w:t>
      </w:r>
      <w:r>
        <w:rPr>
          <w:spacing w:val="-5"/>
        </w:rPr>
        <w:t>针</w:t>
      </w:r>
      <w:r>
        <w:t>水平插</w:t>
      </w:r>
      <w:r>
        <w:rPr>
          <w:spacing w:val="-5"/>
        </w:rPr>
        <w:t>入</w:t>
      </w:r>
      <w:r>
        <w:t>坑壁</w:t>
      </w:r>
      <w:r>
        <w:rPr>
          <w:spacing w:val="-34"/>
        </w:rPr>
        <w:t>，</w:t>
      </w:r>
      <w:r>
        <w:t>将坑</w:t>
      </w:r>
      <w:r>
        <w:rPr>
          <w:spacing w:val="-5"/>
        </w:rPr>
        <w:t>填</w:t>
      </w:r>
      <w:r>
        <w:t>埋严</w:t>
      </w:r>
      <w:r>
        <w:rPr>
          <w:spacing w:val="-5"/>
        </w:rPr>
        <w:t>实</w:t>
      </w:r>
      <w:r>
        <w:rPr>
          <w:spacing w:val="-34"/>
        </w:rPr>
        <w:t>，</w:t>
      </w:r>
      <w:r>
        <w:t>稳</w:t>
      </w:r>
      <w:r>
        <w:rPr>
          <w:spacing w:val="-2"/>
        </w:rPr>
        <w:t>定一段时间后，即可进行连续数天，数月乃至更长时间的测量和记录。</w:t>
      </w:r>
    </w:p>
    <w:p>
      <w:pPr>
        <w:pStyle w:val="3"/>
        <w:spacing w:before="20" w:after="20"/>
        <w:ind w:left="578" w:hanging="578"/>
      </w:pPr>
      <w:bookmarkStart w:id="14" w:name="_Toc30090"/>
      <w:r>
        <w:rPr>
          <w:spacing w:val="2"/>
        </w:rPr>
        <w:t>注意事项</w:t>
      </w:r>
      <w:bookmarkEnd w:id="14"/>
    </w:p>
    <w:p>
      <w:pPr>
        <w:pStyle w:val="16"/>
        <w:spacing w:before="97" w:after="0" w:line="320" w:lineRule="exact"/>
        <w:ind w:firstLine="490"/>
      </w:pPr>
      <w:r>
        <w:rPr>
          <w:rFonts w:eastAsia="Times New Roman"/>
          <w:spacing w:val="-2"/>
        </w:rPr>
        <w:t>1</w:t>
      </w:r>
      <w:r>
        <w:rPr>
          <w:spacing w:val="-2"/>
        </w:rPr>
        <w:t>、测量时钢针必须全部插入土壤里。</w:t>
      </w:r>
    </w:p>
    <w:p>
      <w:pPr>
        <w:pStyle w:val="16"/>
        <w:spacing w:after="0" w:line="320" w:lineRule="exact"/>
        <w:ind w:firstLine="490"/>
      </w:pPr>
      <w:r>
        <w:rPr>
          <w:rFonts w:eastAsia="Times New Roman"/>
          <w:spacing w:val="-2"/>
        </w:rPr>
        <w:t>2</w:t>
      </w:r>
      <w:r>
        <w:rPr>
          <w:spacing w:val="-2"/>
        </w:rPr>
        <w:t>、避免强烈阳光直接照射到传感器上而导致温度过高。野外使用注意防雷击。</w:t>
      </w:r>
    </w:p>
    <w:p>
      <w:pPr>
        <w:pStyle w:val="16"/>
        <w:spacing w:after="0" w:line="320" w:lineRule="exact"/>
        <w:ind w:firstLine="490"/>
      </w:pPr>
      <w:r>
        <w:rPr>
          <w:rFonts w:eastAsia="Times New Roman"/>
          <w:spacing w:val="-2"/>
        </w:rPr>
        <w:t>3</w:t>
      </w:r>
      <w:r>
        <w:rPr>
          <w:spacing w:val="-2"/>
        </w:rPr>
        <w:t>、勿暴力折弯钢针，勿用力拉拽传感器引出线，勿摔打或猛烈撞击传感器。</w:t>
      </w:r>
    </w:p>
    <w:p>
      <w:pPr>
        <w:pStyle w:val="16"/>
        <w:spacing w:before="112" w:after="0" w:line="320" w:lineRule="exact"/>
        <w:ind w:firstLine="490"/>
      </w:pPr>
      <w:r>
        <w:rPr>
          <w:rFonts w:eastAsia="Times New Roman"/>
          <w:spacing w:val="-2"/>
        </w:rPr>
        <w:t>4</w:t>
      </w:r>
      <w:r>
        <w:rPr>
          <w:spacing w:val="-2"/>
        </w:rPr>
        <w:t>、传感器防护等级</w:t>
      </w:r>
      <w:r>
        <w:rPr>
          <w:spacing w:val="-52"/>
        </w:rPr>
        <w:t xml:space="preserve"> </w:t>
      </w:r>
      <w:r>
        <w:rPr>
          <w:rFonts w:eastAsia="Times New Roman"/>
          <w:spacing w:val="-2"/>
        </w:rPr>
        <w:t>IP68</w:t>
      </w:r>
      <w:r>
        <w:rPr>
          <w:spacing w:val="-2"/>
        </w:rPr>
        <w:t>，可以将传感器整个泡在水中。</w:t>
      </w:r>
    </w:p>
    <w:p>
      <w:pPr>
        <w:pStyle w:val="16"/>
        <w:spacing w:after="0" w:line="320" w:lineRule="exact"/>
        <w:ind w:firstLine="490"/>
      </w:pPr>
      <w:r>
        <w:rPr>
          <w:rFonts w:eastAsia="Times New Roman"/>
          <w:spacing w:val="-2"/>
        </w:rPr>
        <w:t>5</w:t>
      </w:r>
      <w:r>
        <w:rPr>
          <w:spacing w:val="-2"/>
        </w:rPr>
        <w:t>、由于在空气中存在射频电磁辐射，不宜长时间在空气中处于通电状态。</w:t>
      </w: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配置软件安装和使用</w:t>
      </w:r>
    </w:p>
    <w:p>
      <w:pPr>
        <w:pStyle w:val="4"/>
        <w:rPr>
          <w:rFonts w:hint="eastAsia"/>
        </w:rPr>
      </w:pPr>
      <w:r>
        <w:rPr>
          <w:rFonts w:hint="eastAsia"/>
          <w:lang w:val="en-US" w:eastAsia="zh-CN"/>
        </w:rPr>
        <w:t>我司提供配套的“传感器监控软件”，可以方便的使用电脑读取传感器的参数，同时灵活的修改传感器的设备ID和地址。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传感器接入电脑</w:t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/>
          <w:lang w:val="en-US" w:eastAsia="zh-CN"/>
        </w:rPr>
        <w:t>将传感器通过USB转TTL输出正确的连接电脑并提供供电后，可以在电脑中看到正确的COM口（“我的电脑—属性—设备管理器—端口”里面查看 COM 端口）。</w:t>
      </w:r>
    </w:p>
    <w:p>
      <w:pPr>
        <w:pStyle w:val="4"/>
        <w:ind w:firstLine="0" w:firstLineChars="0"/>
        <w:jc w:val="center"/>
        <w:rPr>
          <w:rFonts w:hint="eastAsia"/>
        </w:rPr>
      </w:pPr>
      <w:r>
        <w:drawing>
          <wp:inline distT="0" distB="0" distL="114300" distR="114300">
            <wp:extent cx="2657475" cy="1652270"/>
            <wp:effectExtent l="0" t="0" r="9525" b="508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如上图所示，此时您的串口号为COM10，请记住这个串口，需要在传感器监控软件中填入这个串口号。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  <w:lang w:eastAsia="zh-CN"/>
        </w:rPr>
        <w:t>如果在设备管理器中没有发现COM口，则意味您没有插入USB转TTL输出或者没有正确安装驱动，请联系技术人员取得帮助。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传感器监控软件使用</w:t>
      </w:r>
    </w:p>
    <w:p>
      <w:pPr>
        <w:pStyle w:val="4"/>
        <w:spacing w:line="320" w:lineRule="exact"/>
        <w:ind w:left="498" w:firstLine="0" w:firstLine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软件界面如图所示：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drawing>
          <wp:inline distT="0" distB="0" distL="114300" distR="114300">
            <wp:extent cx="2388870" cy="1791970"/>
            <wp:effectExtent l="0" t="0" r="11430" b="17780"/>
            <wp:docPr id="10" name="图片 5" descr="上位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 descr="上位机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88870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 w:ascii="宋体" w:hAnsi="宋体" w:cs="宋体"/>
          <w:lang w:val="en-US" w:eastAsia="zh-CN"/>
        </w:rPr>
        <w:t>打开软件后，首先选择软件顶端“传感器类型”，再根据</w:t>
      </w:r>
      <w:r>
        <w:rPr>
          <w:rFonts w:hint="eastAsia" w:ascii="宋体" w:hAnsi="宋体" w:cs="宋体"/>
          <w:b/>
        </w:rPr>
        <w:t>3.1</w:t>
      </w:r>
      <w:r>
        <w:rPr>
          <w:rFonts w:hint="eastAsia" w:ascii="宋体" w:hAnsi="宋体" w:cs="宋体"/>
          <w:b/>
          <w:lang w:val="en-US" w:eastAsia="zh-CN"/>
        </w:rPr>
        <w:t>章节</w:t>
      </w:r>
      <w:r>
        <w:rPr>
          <w:rFonts w:hint="eastAsia" w:ascii="宋体" w:hAnsi="宋体" w:cs="宋体"/>
          <w:lang w:val="en-US" w:eastAsia="zh-CN"/>
        </w:rPr>
        <w:t>的方法获取到串口号并选择正确的串口，然后单击“自动获取当前波特率和地址”即可自动探测到当前TTL输出总线上的所有设备和波特率。请注意，使用软件自动获取时需要保证TTL输出总线上只有一个传感器。</w:t>
      </w:r>
      <w:r>
        <w:rPr>
          <w:rFonts w:hint="eastAsia"/>
          <w:lang w:eastAsia="zh-CN"/>
        </w:rPr>
        <w:t>然后单击“连接设备”后即可实时获取传感器数据信息。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修改波特率和设备地址</w:t>
      </w:r>
    </w:p>
    <w:p>
      <w:pPr>
        <w:pStyle w:val="4"/>
      </w:pPr>
      <w:r>
        <w:rPr>
          <w:rFonts w:hint="eastAsia" w:ascii="宋体" w:hAnsi="宋体" w:cs="宋体"/>
          <w:lang w:val="en-US" w:eastAsia="zh-CN"/>
        </w:rPr>
        <w:t>在断开“设备连接”的情况下，点击“配置传感器通信参数”中“修改波特率和修改从站号”即可完成相关的设置，请注意设置过后请重启设备，然后“自动获取当前的波特率和地址”后可以发现地址和波特率已经改成您需要的地址和波特率</w:t>
      </w:r>
      <w:r>
        <w:rPr>
          <w:rFonts w:hint="eastAsia" w:ascii="宋体" w:hAnsi="宋体" w:cs="宋体"/>
        </w:rPr>
        <w:t>。</w:t>
      </w:r>
    </w:p>
    <w:p>
      <w:pPr>
        <w:pStyle w:val="2"/>
      </w:pPr>
      <w:r>
        <w:t>通信协议</w:t>
      </w:r>
    </w:p>
    <w:p>
      <w:pPr>
        <w:pStyle w:val="3"/>
        <w:rPr>
          <w:rFonts w:hint="eastAsia"/>
        </w:rPr>
      </w:pPr>
      <w:bookmarkStart w:id="15" w:name="_Toc9183"/>
      <w:r>
        <w:rPr>
          <w:rFonts w:hint="eastAsia"/>
        </w:rPr>
        <w:t>通讯基本参数</w:t>
      </w:r>
      <w:bookmarkEnd w:id="15"/>
    </w:p>
    <w:tbl>
      <w:tblPr>
        <w:tblStyle w:val="37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73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参数</w:t>
            </w:r>
          </w:p>
        </w:tc>
        <w:tc>
          <w:tcPr>
            <w:tcW w:w="473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编码</w:t>
            </w:r>
          </w:p>
        </w:tc>
        <w:tc>
          <w:tcPr>
            <w:tcW w:w="4732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8位二进制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数据位</w:t>
            </w:r>
          </w:p>
        </w:tc>
        <w:tc>
          <w:tcPr>
            <w:tcW w:w="4732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奇偶校验位</w:t>
            </w:r>
          </w:p>
        </w:tc>
        <w:tc>
          <w:tcPr>
            <w:tcW w:w="4732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停止位</w:t>
            </w:r>
          </w:p>
        </w:tc>
        <w:tc>
          <w:tcPr>
            <w:tcW w:w="4732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错误校准</w:t>
            </w:r>
          </w:p>
        </w:tc>
        <w:tc>
          <w:tcPr>
            <w:tcW w:w="4732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波特率</w:t>
            </w:r>
          </w:p>
        </w:tc>
        <w:tc>
          <w:tcPr>
            <w:tcW w:w="4732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2400bps/4800bps/9600bps可设，出厂默认为9600bps</w:t>
            </w:r>
          </w:p>
        </w:tc>
      </w:tr>
    </w:tbl>
    <w:p>
      <w:pPr>
        <w:pStyle w:val="3"/>
      </w:pPr>
      <w:bookmarkStart w:id="16" w:name="_Toc12903"/>
      <w:r>
        <w:rPr>
          <w:rFonts w:hint="eastAsia"/>
        </w:rPr>
        <w:t>数据帧格式定义</w:t>
      </w:r>
      <w:bookmarkEnd w:id="16"/>
    </w:p>
    <w:p>
      <w:pPr>
        <w:pStyle w:val="4"/>
        <w:rPr>
          <w:rFonts w:hint="eastAsia"/>
        </w:rPr>
      </w:pPr>
      <w:r>
        <w:rPr>
          <w:rFonts w:hint="eastAsia"/>
        </w:rPr>
        <w:t>采用Modbus-RTU通讯规约，格式如下：</w:t>
      </w:r>
    </w:p>
    <w:p>
      <w:pPr>
        <w:pStyle w:val="4"/>
        <w:rPr>
          <w:rFonts w:hint="eastAsia"/>
        </w:rPr>
      </w:pPr>
      <w:r>
        <w:rPr>
          <w:rFonts w:hint="eastAsia"/>
        </w:rPr>
        <w:t>初始结构≥4字节的时间</w:t>
      </w:r>
    </w:p>
    <w:p>
      <w:pPr>
        <w:pStyle w:val="4"/>
        <w:rPr>
          <w:rFonts w:hint="eastAsia"/>
        </w:rPr>
      </w:pPr>
      <w:r>
        <w:rPr>
          <w:rFonts w:hint="eastAsia"/>
        </w:rPr>
        <w:t>地址码=1字节</w:t>
      </w:r>
    </w:p>
    <w:p>
      <w:pPr>
        <w:pStyle w:val="4"/>
        <w:rPr>
          <w:rFonts w:hint="eastAsia"/>
        </w:rPr>
      </w:pPr>
      <w:r>
        <w:rPr>
          <w:rFonts w:hint="eastAsia"/>
        </w:rPr>
        <w:t>功能码=1字节</w:t>
      </w:r>
    </w:p>
    <w:p>
      <w:pPr>
        <w:pStyle w:val="4"/>
        <w:rPr>
          <w:rFonts w:hint="eastAsia"/>
        </w:rPr>
      </w:pPr>
      <w:r>
        <w:rPr>
          <w:rFonts w:hint="eastAsia"/>
        </w:rPr>
        <w:t>数据区=N字节</w:t>
      </w:r>
    </w:p>
    <w:p>
      <w:pPr>
        <w:pStyle w:val="4"/>
        <w:rPr>
          <w:rFonts w:hint="eastAsia"/>
        </w:rPr>
      </w:pPr>
      <w:r>
        <w:rPr>
          <w:rFonts w:hint="eastAsia"/>
        </w:rPr>
        <w:t>错误校验=16位CRC码</w:t>
      </w:r>
    </w:p>
    <w:p>
      <w:pPr>
        <w:pStyle w:val="4"/>
        <w:rPr>
          <w:rFonts w:hint="eastAsia"/>
        </w:rPr>
      </w:pPr>
      <w:r>
        <w:rPr>
          <w:rFonts w:hint="eastAsia"/>
        </w:rPr>
        <w:t>结束结构≥4字节的时间</w:t>
      </w:r>
    </w:p>
    <w:p>
      <w:pPr>
        <w:pStyle w:val="4"/>
        <w:rPr>
          <w:rFonts w:hint="eastAsia"/>
        </w:rPr>
      </w:pPr>
      <w:r>
        <w:rPr>
          <w:rFonts w:hint="eastAsia"/>
        </w:rPr>
        <w:t>地址码：为变送器的功能指示，本变送器只用到功能码 0x03</w:t>
      </w:r>
      <w:r>
        <w:rPr>
          <w:rFonts w:hint="eastAsia"/>
          <w:lang w:eastAsia="zh-CN"/>
        </w:rPr>
        <w:t>(</w:t>
      </w:r>
      <w:r>
        <w:rPr>
          <w:rFonts w:hint="eastAsia"/>
        </w:rPr>
        <w:t>读取寄存器数据</w:t>
      </w:r>
      <w:r>
        <w:rPr>
          <w:rFonts w:hint="eastAsia"/>
          <w:lang w:eastAsia="zh-CN"/>
        </w:rPr>
        <w:t>)</w:t>
      </w:r>
      <w:r>
        <w:rPr>
          <w:rFonts w:hint="eastAsia"/>
        </w:rPr>
        <w:t>。</w:t>
      </w:r>
    </w:p>
    <w:p>
      <w:pPr>
        <w:pStyle w:val="4"/>
        <w:rPr>
          <w:rFonts w:hint="eastAsia"/>
        </w:rPr>
      </w:pPr>
      <w:r>
        <w:rPr>
          <w:rFonts w:hint="eastAsia"/>
        </w:rPr>
        <w:t>数据区：数据区是具体地址，在通讯网络中是唯一的</w:t>
      </w:r>
      <w:r>
        <w:rPr>
          <w:rFonts w:hint="eastAsia"/>
          <w:lang w:eastAsia="zh-CN"/>
        </w:rPr>
        <w:t>(</w:t>
      </w:r>
      <w:r>
        <w:rPr>
          <w:rFonts w:hint="eastAsia"/>
        </w:rPr>
        <w:t>出厂默认0x01</w:t>
      </w:r>
      <w:r>
        <w:rPr>
          <w:rFonts w:hint="eastAsia"/>
          <w:lang w:eastAsia="zh-CN"/>
        </w:rPr>
        <w:t>)</w:t>
      </w:r>
      <w:r>
        <w:rPr>
          <w:rFonts w:hint="eastAsia"/>
        </w:rPr>
        <w:t>。</w:t>
      </w:r>
    </w:p>
    <w:p>
      <w:pPr>
        <w:pStyle w:val="4"/>
        <w:rPr>
          <w:rFonts w:hint="eastAsia"/>
        </w:rPr>
      </w:pPr>
      <w:r>
        <w:rPr>
          <w:rFonts w:hint="eastAsia"/>
        </w:rPr>
        <w:t>功能码：主机所发指令通讯数据，注意16bits数据高字节在前！</w:t>
      </w:r>
    </w:p>
    <w:p>
      <w:pPr>
        <w:pStyle w:val="4"/>
        <w:rPr>
          <w:rFonts w:hint="eastAsia"/>
          <w:lang w:eastAsia="zh-CN"/>
        </w:rPr>
      </w:pPr>
      <w:r>
        <w:rPr>
          <w:rFonts w:hint="eastAsia"/>
        </w:rPr>
        <w:t>CRC码：二字节的校验码。</w:t>
      </w:r>
    </w:p>
    <w:p>
      <w:pPr>
        <w:pStyle w:val="4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37"/>
        <w:tblW w:w="0" w:type="auto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870"/>
        <w:gridCol w:w="870"/>
        <w:gridCol w:w="1677"/>
        <w:gridCol w:w="1273"/>
        <w:gridCol w:w="98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870" w:type="dxa"/>
            <w:noWrap w:val="0"/>
            <w:vAlign w:val="top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70" w:type="dxa"/>
            <w:noWrap w:val="0"/>
            <w:vAlign w:val="top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677" w:type="dxa"/>
            <w:noWrap w:val="0"/>
            <w:vAlign w:val="top"/>
          </w:tcPr>
          <w:p>
            <w:r>
              <w:rPr>
                <w:rFonts w:hint="eastAsia"/>
              </w:rPr>
              <w:t>寄存器起始地址</w:t>
            </w:r>
          </w:p>
        </w:tc>
        <w:tc>
          <w:tcPr>
            <w:tcW w:w="1273" w:type="dxa"/>
            <w:noWrap w:val="0"/>
            <w:vAlign w:val="top"/>
          </w:tcPr>
          <w:p>
            <w:r>
              <w:rPr>
                <w:rFonts w:hint="eastAsia"/>
              </w:rPr>
              <w:t>寄存器长度</w:t>
            </w:r>
          </w:p>
        </w:tc>
        <w:tc>
          <w:tcPr>
            <w:tcW w:w="98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  <w:tc>
          <w:tcPr>
            <w:tcW w:w="870" w:type="dxa"/>
            <w:noWrap w:val="0"/>
            <w:vAlign w:val="top"/>
          </w:tcPr>
          <w:p>
            <w:r>
              <w:rPr>
                <w:rFonts w:hint="eastAsia"/>
              </w:rPr>
              <w:t>1字节</w:t>
            </w:r>
          </w:p>
        </w:tc>
        <w:tc>
          <w:tcPr>
            <w:tcW w:w="870" w:type="dxa"/>
            <w:noWrap w:val="0"/>
            <w:vAlign w:val="top"/>
          </w:tcPr>
          <w:p>
            <w:r>
              <w:rPr>
                <w:rFonts w:hint="eastAsia"/>
              </w:rPr>
              <w:t>1字节</w:t>
            </w:r>
          </w:p>
        </w:tc>
        <w:tc>
          <w:tcPr>
            <w:tcW w:w="1677" w:type="dxa"/>
            <w:noWrap w:val="0"/>
            <w:vAlign w:val="top"/>
          </w:tcPr>
          <w:p>
            <w:r>
              <w:rPr>
                <w:rFonts w:hint="eastAsia"/>
              </w:rPr>
              <w:t>2字节</w:t>
            </w:r>
          </w:p>
        </w:tc>
        <w:tc>
          <w:tcPr>
            <w:tcW w:w="1273" w:type="dxa"/>
            <w:noWrap w:val="0"/>
            <w:vAlign w:val="top"/>
          </w:tcPr>
          <w:p>
            <w:r>
              <w:rPr>
                <w:rFonts w:hint="eastAsia"/>
              </w:rPr>
              <w:t>2字节</w:t>
            </w:r>
          </w:p>
        </w:tc>
        <w:tc>
          <w:tcPr>
            <w:tcW w:w="98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</w:tr>
    </w:tbl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应答帧</w:t>
      </w:r>
    </w:p>
    <w:tbl>
      <w:tblPr>
        <w:tblStyle w:val="37"/>
        <w:tblW w:w="0" w:type="auto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902"/>
        <w:gridCol w:w="1339"/>
        <w:gridCol w:w="1339"/>
        <w:gridCol w:w="1339"/>
        <w:gridCol w:w="109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0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33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33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第一数据区</w:t>
            </w:r>
          </w:p>
        </w:tc>
        <w:tc>
          <w:tcPr>
            <w:tcW w:w="133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第二数据区</w:t>
            </w:r>
          </w:p>
        </w:tc>
        <w:tc>
          <w:tcPr>
            <w:tcW w:w="109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76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  <w:tc>
          <w:tcPr>
            <w:tcW w:w="90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  <w:tc>
          <w:tcPr>
            <w:tcW w:w="133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  <w:tc>
          <w:tcPr>
            <w:tcW w:w="133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2字节</w:t>
            </w:r>
          </w:p>
        </w:tc>
        <w:tc>
          <w:tcPr>
            <w:tcW w:w="133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2字节</w:t>
            </w:r>
          </w:p>
        </w:tc>
        <w:tc>
          <w:tcPr>
            <w:tcW w:w="109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2字节</w:t>
            </w:r>
          </w:p>
        </w:tc>
      </w:tr>
    </w:tbl>
    <w:p>
      <w:pPr>
        <w:pStyle w:val="3"/>
        <w:spacing w:before="20" w:after="20"/>
        <w:ind w:left="578" w:hanging="578"/>
      </w:pPr>
      <w:bookmarkStart w:id="17" w:name="_Toc25793"/>
      <w:r>
        <w:rPr>
          <w:spacing w:val="2"/>
        </w:rPr>
        <w:t>寄存器地址</w:t>
      </w:r>
      <w:bookmarkEnd w:id="17"/>
    </w:p>
    <w:tbl>
      <w:tblPr>
        <w:tblStyle w:val="37"/>
        <w:tblW w:w="0" w:type="auto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42"/>
        <w:gridCol w:w="1940"/>
        <w:gridCol w:w="3000"/>
        <w:gridCol w:w="58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42" w:type="dxa"/>
            <w:noWrap w:val="0"/>
            <w:vAlign w:val="top"/>
          </w:tcPr>
          <w:p>
            <w:r>
              <w:t>寄存器地址</w:t>
            </w:r>
          </w:p>
        </w:tc>
        <w:tc>
          <w:tcPr>
            <w:tcW w:w="1940" w:type="dxa"/>
            <w:noWrap w:val="0"/>
            <w:vAlign w:val="top"/>
          </w:tcPr>
          <w:p>
            <w:r>
              <w:rPr>
                <w:spacing w:val="-2"/>
              </w:rPr>
              <w:t>PLC或组态地址</w:t>
            </w:r>
          </w:p>
        </w:tc>
        <w:tc>
          <w:tcPr>
            <w:tcW w:w="3000" w:type="dxa"/>
            <w:noWrap w:val="0"/>
            <w:vAlign w:val="top"/>
          </w:tcPr>
          <w:p>
            <w:r>
              <w:t>内容</w:t>
            </w:r>
          </w:p>
        </w:tc>
        <w:tc>
          <w:tcPr>
            <w:tcW w:w="585" w:type="dxa"/>
            <w:noWrap w:val="0"/>
            <w:vAlign w:val="top"/>
          </w:tcPr>
          <w:p>
            <w: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4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t>00</w:t>
            </w:r>
            <w:r>
              <w:rPr>
                <w:rFonts w:hint="eastAsia"/>
              </w:rPr>
              <w:t>1</w:t>
            </w:r>
            <w:r>
              <w:t>2H</w:t>
            </w:r>
          </w:p>
        </w:tc>
        <w:tc>
          <w:tcPr>
            <w:tcW w:w="194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t>400</w:t>
            </w:r>
            <w:r>
              <w:rPr>
                <w:rFonts w:hint="eastAsia"/>
              </w:rPr>
              <w:t>13（40019）</w:t>
            </w:r>
          </w:p>
        </w:tc>
        <w:tc>
          <w:tcPr>
            <w:tcW w:w="300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t>土壤湿度</w:t>
            </w:r>
            <w:r>
              <w:rPr>
                <w:rFonts w:hint="eastAsia"/>
              </w:rPr>
              <w:t>(单位0.1%RH)</w:t>
            </w:r>
          </w:p>
        </w:tc>
        <w:tc>
          <w:tcPr>
            <w:tcW w:w="585" w:type="dxa"/>
            <w:noWrap w:val="0"/>
            <w:vAlign w:val="top"/>
          </w:tcPr>
          <w:p>
            <w: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4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t>00</w:t>
            </w:r>
            <w:r>
              <w:rPr>
                <w:rFonts w:hint="eastAsia"/>
              </w:rPr>
              <w:t>1</w:t>
            </w:r>
            <w:r>
              <w:t>3H</w:t>
            </w:r>
          </w:p>
        </w:tc>
        <w:tc>
          <w:tcPr>
            <w:tcW w:w="194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t>400</w:t>
            </w:r>
            <w:r>
              <w:rPr>
                <w:rFonts w:hint="eastAsia"/>
              </w:rPr>
              <w:t>1</w:t>
            </w:r>
            <w:r>
              <w:t>4</w:t>
            </w:r>
            <w:r>
              <w:rPr>
                <w:rFonts w:hint="eastAsia"/>
              </w:rPr>
              <w:t>（40020）</w:t>
            </w:r>
          </w:p>
        </w:tc>
        <w:tc>
          <w:tcPr>
            <w:tcW w:w="300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t>土壤温度</w:t>
            </w:r>
            <w:r>
              <w:rPr>
                <w:rFonts w:hint="eastAsia"/>
              </w:rPr>
              <w:t>(单位0.1℃)</w:t>
            </w:r>
          </w:p>
        </w:tc>
        <w:tc>
          <w:tcPr>
            <w:tcW w:w="585" w:type="dxa"/>
            <w:noWrap w:val="0"/>
            <w:vAlign w:val="top"/>
          </w:tcPr>
          <w:p>
            <w: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42" w:type="dxa"/>
            <w:noWrap w:val="0"/>
            <w:vAlign w:val="top"/>
          </w:tcPr>
          <w:p>
            <w:r>
              <w:t>0100H</w:t>
            </w:r>
          </w:p>
        </w:tc>
        <w:tc>
          <w:tcPr>
            <w:tcW w:w="1940" w:type="dxa"/>
            <w:noWrap w:val="0"/>
            <w:vAlign w:val="top"/>
          </w:tcPr>
          <w:p>
            <w:r>
              <w:t>40101</w:t>
            </w:r>
          </w:p>
        </w:tc>
        <w:tc>
          <w:tcPr>
            <w:tcW w:w="3000" w:type="dxa"/>
            <w:noWrap w:val="0"/>
            <w:vAlign w:val="top"/>
          </w:tcPr>
          <w:p>
            <w:r>
              <w:t>设备地址</w:t>
            </w:r>
            <w:r>
              <w:rPr>
                <w:rFonts w:hint="eastAsia"/>
              </w:rPr>
              <w:t>(</w:t>
            </w:r>
            <w:r>
              <w:t>0-252</w:t>
            </w:r>
            <w:r>
              <w:rPr>
                <w:rFonts w:hint="eastAsia"/>
              </w:rPr>
              <w:t>)</w:t>
            </w:r>
          </w:p>
        </w:tc>
        <w:tc>
          <w:tcPr>
            <w:tcW w:w="585" w:type="dxa"/>
            <w:noWrap w:val="0"/>
            <w:vAlign w:val="top"/>
          </w:tcPr>
          <w:p>
            <w: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42" w:type="dxa"/>
            <w:noWrap w:val="0"/>
            <w:vAlign w:val="top"/>
          </w:tcPr>
          <w:p>
            <w:r>
              <w:t>0101H</w:t>
            </w:r>
          </w:p>
        </w:tc>
        <w:tc>
          <w:tcPr>
            <w:tcW w:w="1940" w:type="dxa"/>
            <w:noWrap w:val="0"/>
            <w:vAlign w:val="top"/>
          </w:tcPr>
          <w:p>
            <w:r>
              <w:t>40102</w:t>
            </w:r>
          </w:p>
        </w:tc>
        <w:tc>
          <w:tcPr>
            <w:tcW w:w="3000" w:type="dxa"/>
            <w:noWrap w:val="0"/>
            <w:vAlign w:val="top"/>
          </w:tcPr>
          <w:p>
            <w:r>
              <w:t>波特率</w:t>
            </w:r>
            <w:r>
              <w:rPr>
                <w:rFonts w:hint="eastAsia"/>
              </w:rPr>
              <w:t>(</w:t>
            </w:r>
            <w:r>
              <w:t>2400</w:t>
            </w:r>
            <w:r>
              <w:rPr>
                <w:rFonts w:hint="eastAsia"/>
              </w:rPr>
              <w:t>/</w:t>
            </w:r>
            <w:r>
              <w:t>4800</w:t>
            </w:r>
            <w:r>
              <w:rPr>
                <w:rFonts w:hint="eastAsia"/>
              </w:rPr>
              <w:t>/</w:t>
            </w:r>
            <w:r>
              <w:t>9600</w:t>
            </w:r>
            <w:r>
              <w:rPr>
                <w:rFonts w:hint="eastAsia"/>
              </w:rPr>
              <w:t>)</w:t>
            </w:r>
          </w:p>
        </w:tc>
        <w:tc>
          <w:tcPr>
            <w:tcW w:w="585" w:type="dxa"/>
            <w:noWrap w:val="0"/>
            <w:vAlign w:val="top"/>
          </w:tcPr>
          <w:p>
            <w:r>
              <w:t>读写</w:t>
            </w:r>
          </w:p>
        </w:tc>
      </w:tr>
    </w:tbl>
    <w:p>
      <w:pPr>
        <w:pStyle w:val="3"/>
        <w:spacing w:before="20" w:after="20"/>
        <w:ind w:left="578" w:hanging="578"/>
      </w:pPr>
      <w:bookmarkStart w:id="18" w:name="_Toc24395"/>
      <w:r>
        <w:rPr>
          <w:spacing w:val="2"/>
        </w:rPr>
        <w:t>通讯协议示例以及解释</w:t>
      </w:r>
      <w:bookmarkEnd w:id="18"/>
    </w:p>
    <w:p>
      <w:pPr>
        <w:pStyle w:val="5"/>
        <w:spacing w:before="20"/>
      </w:pPr>
      <w:bookmarkStart w:id="19" w:name="_Toc5453"/>
      <w:r>
        <w:t>读取设备地址0x01的土壤温湿度值</w:t>
      </w:r>
      <w:bookmarkEnd w:id="19"/>
    </w:p>
    <w:p>
      <w:pPr>
        <w:pStyle w:val="16"/>
        <w:spacing w:after="0" w:line="320" w:lineRule="exact"/>
        <w:ind w:firstLine="479" w:firstLineChars="196"/>
        <w:rPr>
          <w:spacing w:val="-2"/>
        </w:rPr>
      </w:pPr>
    </w:p>
    <w:p>
      <w:pPr>
        <w:pStyle w:val="16"/>
        <w:spacing w:after="0" w:line="320" w:lineRule="exact"/>
        <w:ind w:firstLine="479" w:firstLineChars="196"/>
        <w:rPr>
          <w:sz w:val="4"/>
          <w:szCs w:val="4"/>
          <w:lang w:eastAsia="zh-CN"/>
        </w:rPr>
      </w:pPr>
      <w:r>
        <w:rPr>
          <w:spacing w:val="-2"/>
        </w:rPr>
        <w:t>问询帧</w:t>
      </w:r>
    </w:p>
    <w:tbl>
      <w:tblPr>
        <w:tblStyle w:val="37"/>
        <w:tblW w:w="0" w:type="auto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8"/>
        <w:gridCol w:w="867"/>
        <w:gridCol w:w="1406"/>
        <w:gridCol w:w="860"/>
        <w:gridCol w:w="1276"/>
        <w:gridCol w:w="128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  <w:jc w:val="center"/>
        </w:trPr>
        <w:tc>
          <w:tcPr>
            <w:tcW w:w="978" w:type="dxa"/>
            <w:noWrap w:val="0"/>
            <w:vAlign w:val="top"/>
          </w:tcPr>
          <w:p>
            <w:r>
              <w:t>地址码</w:t>
            </w:r>
          </w:p>
        </w:tc>
        <w:tc>
          <w:tcPr>
            <w:tcW w:w="867" w:type="dxa"/>
            <w:noWrap w:val="0"/>
            <w:vAlign w:val="top"/>
          </w:tcPr>
          <w:p>
            <w:r>
              <w:t>功能码</w:t>
            </w:r>
          </w:p>
        </w:tc>
        <w:tc>
          <w:tcPr>
            <w:tcW w:w="1406" w:type="dxa"/>
            <w:noWrap w:val="0"/>
            <w:vAlign w:val="top"/>
          </w:tcPr>
          <w:p>
            <w:r>
              <w:t>起始地址</w:t>
            </w:r>
          </w:p>
        </w:tc>
        <w:tc>
          <w:tcPr>
            <w:tcW w:w="860" w:type="dxa"/>
            <w:noWrap w:val="0"/>
            <w:vAlign w:val="top"/>
          </w:tcPr>
          <w:p>
            <w:r>
              <w:t>数据长度</w:t>
            </w:r>
          </w:p>
        </w:tc>
        <w:tc>
          <w:tcPr>
            <w:tcW w:w="1276" w:type="dxa"/>
            <w:noWrap w:val="0"/>
            <w:vAlign w:val="top"/>
          </w:tcPr>
          <w:p>
            <w:r>
              <w:rPr>
                <w:spacing w:val="-1"/>
              </w:rPr>
              <w:t>校验码低位</w:t>
            </w:r>
          </w:p>
        </w:tc>
        <w:tc>
          <w:tcPr>
            <w:tcW w:w="1280" w:type="dxa"/>
            <w:noWrap w:val="0"/>
            <w:vAlign w:val="top"/>
          </w:tcPr>
          <w:p>
            <w:r>
              <w:rPr>
                <w:spacing w:val="-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  <w:jc w:val="center"/>
        </w:trPr>
        <w:tc>
          <w:tcPr>
            <w:tcW w:w="978" w:type="dxa"/>
            <w:noWrap w:val="0"/>
            <w:vAlign w:val="top"/>
          </w:tcPr>
          <w:p>
            <w:pPr>
              <w:rPr>
                <w:rFonts w:eastAsia="Times New Roman"/>
              </w:rPr>
            </w:pPr>
            <w:r>
              <w:t>0x01</w:t>
            </w:r>
          </w:p>
        </w:tc>
        <w:tc>
          <w:tcPr>
            <w:tcW w:w="867" w:type="dxa"/>
            <w:noWrap w:val="0"/>
            <w:vAlign w:val="top"/>
          </w:tcPr>
          <w:p>
            <w:pPr>
              <w:rPr>
                <w:rFonts w:eastAsia="Times New Roman"/>
              </w:rPr>
            </w:pPr>
            <w:r>
              <w:t>0x03</w:t>
            </w:r>
          </w:p>
        </w:tc>
        <w:tc>
          <w:tcPr>
            <w:tcW w:w="1406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t>0x00</w:t>
            </w:r>
            <w:r>
              <w:rPr>
                <w:rFonts w:hint="eastAsia"/>
              </w:rPr>
              <w:t xml:space="preserve"> </w:t>
            </w:r>
          </w:p>
          <w:p>
            <w:pPr>
              <w:rPr>
                <w:rFonts w:hint="eastAsia"/>
              </w:rPr>
            </w:pPr>
            <w:r>
              <w:t>0x</w:t>
            </w:r>
            <w:r>
              <w:rPr>
                <w:rFonts w:hint="eastAsia"/>
              </w:rPr>
              <w:t>12</w:t>
            </w:r>
          </w:p>
        </w:tc>
        <w:tc>
          <w:tcPr>
            <w:tcW w:w="860" w:type="dxa"/>
            <w:noWrap w:val="0"/>
            <w:vAlign w:val="top"/>
          </w:tcPr>
          <w:p>
            <w:r>
              <w:t>0x00</w:t>
            </w:r>
          </w:p>
          <w:p>
            <w:pPr>
              <w:rPr>
                <w:rFonts w:eastAsia="Times New Roman"/>
              </w:rPr>
            </w:pPr>
            <w:r>
              <w:rPr>
                <w:rFonts w:hint="eastAsia"/>
              </w:rPr>
              <w:t xml:space="preserve"> </w:t>
            </w:r>
            <w:r>
              <w:t>0x02</w:t>
            </w:r>
          </w:p>
        </w:tc>
        <w:tc>
          <w:tcPr>
            <w:tcW w:w="1276" w:type="dxa"/>
            <w:noWrap w:val="0"/>
            <w:vAlign w:val="top"/>
          </w:tcPr>
          <w:p>
            <w:pPr>
              <w:rPr>
                <w:rFonts w:eastAsia="Times New Roman"/>
              </w:rPr>
            </w:pPr>
            <w:r>
              <w:rPr>
                <w:spacing w:val="-1"/>
              </w:rPr>
              <w:t>0x6</w:t>
            </w:r>
            <w:r>
              <w:rPr>
                <w:rFonts w:hint="eastAsia"/>
                <w:spacing w:val="-1"/>
              </w:rPr>
              <w:t>4</w:t>
            </w:r>
          </w:p>
        </w:tc>
        <w:tc>
          <w:tcPr>
            <w:tcW w:w="1280" w:type="dxa"/>
            <w:noWrap w:val="0"/>
            <w:vAlign w:val="top"/>
          </w:tcPr>
          <w:p>
            <w:pPr>
              <w:rPr>
                <w:rFonts w:eastAsia="Times New Roman"/>
              </w:rPr>
            </w:pPr>
            <w:r>
              <w:t>0x</w:t>
            </w:r>
            <w:r>
              <w:rPr>
                <w:rFonts w:hint="eastAsia"/>
              </w:rPr>
              <w:t>0E</w:t>
            </w:r>
          </w:p>
        </w:tc>
      </w:tr>
    </w:tbl>
    <w:p>
      <w:pPr>
        <w:pStyle w:val="16"/>
        <w:spacing w:after="0" w:line="320" w:lineRule="exact"/>
        <w:ind w:firstLine="479" w:firstLineChars="196"/>
        <w:rPr>
          <w:spacing w:val="-1"/>
          <w:lang w:eastAsia="zh-CN"/>
        </w:rPr>
      </w:pPr>
      <w:r>
        <w:rPr>
          <w:spacing w:val="-2"/>
        </w:rPr>
        <w:t>应答帧（例如读到温度为</w:t>
      </w:r>
      <w:r>
        <w:rPr>
          <w:rFonts w:eastAsia="Times New Roman"/>
          <w:spacing w:val="-2"/>
        </w:rPr>
        <w:t>-10.1</w:t>
      </w:r>
      <w:r>
        <w:rPr>
          <w:spacing w:val="-2"/>
        </w:rPr>
        <w:t>℃，湿度为</w:t>
      </w:r>
      <w:r>
        <w:rPr>
          <w:rFonts w:eastAsia="Times New Roman"/>
          <w:spacing w:val="-1"/>
        </w:rPr>
        <w:t>65.8%RH</w:t>
      </w:r>
      <w:r>
        <w:rPr>
          <w:spacing w:val="-1"/>
        </w:rPr>
        <w:t>）</w:t>
      </w:r>
    </w:p>
    <w:tbl>
      <w:tblPr>
        <w:tblStyle w:val="37"/>
        <w:tblW w:w="0" w:type="auto"/>
        <w:tblInd w:w="108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7"/>
        <w:gridCol w:w="831"/>
        <w:gridCol w:w="933"/>
        <w:gridCol w:w="977"/>
        <w:gridCol w:w="878"/>
        <w:gridCol w:w="1202"/>
        <w:gridCol w:w="1080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7" w:type="dxa"/>
            <w:noWrap w:val="0"/>
            <w:vAlign w:val="center"/>
          </w:tcPr>
          <w:p>
            <w:r>
              <w:t>地址码</w:t>
            </w:r>
          </w:p>
        </w:tc>
        <w:tc>
          <w:tcPr>
            <w:tcW w:w="831" w:type="dxa"/>
            <w:noWrap w:val="0"/>
            <w:vAlign w:val="center"/>
          </w:tcPr>
          <w:p>
            <w:r>
              <w:t>功能码</w:t>
            </w:r>
          </w:p>
        </w:tc>
        <w:tc>
          <w:tcPr>
            <w:tcW w:w="933" w:type="dxa"/>
            <w:noWrap w:val="0"/>
            <w:vAlign w:val="center"/>
          </w:tcPr>
          <w:p>
            <w:r>
              <w:t>有效字数</w:t>
            </w:r>
          </w:p>
        </w:tc>
        <w:tc>
          <w:tcPr>
            <w:tcW w:w="977" w:type="dxa"/>
            <w:noWrap w:val="0"/>
            <w:vAlign w:val="center"/>
          </w:tcPr>
          <w:p>
            <w:r>
              <w:t>湿度值</w:t>
            </w:r>
          </w:p>
        </w:tc>
        <w:tc>
          <w:tcPr>
            <w:tcW w:w="878" w:type="dxa"/>
            <w:noWrap w:val="0"/>
            <w:vAlign w:val="center"/>
          </w:tcPr>
          <w:p>
            <w:r>
              <w:t>温度值</w:t>
            </w:r>
          </w:p>
        </w:tc>
        <w:tc>
          <w:tcPr>
            <w:tcW w:w="1202" w:type="dxa"/>
            <w:noWrap w:val="0"/>
            <w:vAlign w:val="center"/>
          </w:tcPr>
          <w:p>
            <w:r>
              <w:t>校验码</w:t>
            </w:r>
          </w:p>
          <w:p>
            <w:r>
              <w:t>低位</w:t>
            </w:r>
          </w:p>
        </w:tc>
        <w:tc>
          <w:tcPr>
            <w:tcW w:w="1080" w:type="dxa"/>
            <w:noWrap w:val="0"/>
            <w:vAlign w:val="center"/>
          </w:tcPr>
          <w:p>
            <w:r>
              <w:t>校验码</w:t>
            </w:r>
          </w:p>
          <w:p>
            <w:r>
              <w:t>高位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7" w:type="dxa"/>
            <w:noWrap w:val="0"/>
            <w:vAlign w:val="top"/>
          </w:tcPr>
          <w:p>
            <w:r>
              <w:t>0x01</w:t>
            </w:r>
          </w:p>
        </w:tc>
        <w:tc>
          <w:tcPr>
            <w:tcW w:w="831" w:type="dxa"/>
            <w:noWrap w:val="0"/>
            <w:vAlign w:val="top"/>
          </w:tcPr>
          <w:p>
            <w:r>
              <w:t>0x03</w:t>
            </w:r>
          </w:p>
        </w:tc>
        <w:tc>
          <w:tcPr>
            <w:tcW w:w="933" w:type="dxa"/>
            <w:noWrap w:val="0"/>
            <w:vAlign w:val="top"/>
          </w:tcPr>
          <w:p>
            <w:r>
              <w:t>0x04</w:t>
            </w:r>
          </w:p>
        </w:tc>
        <w:tc>
          <w:tcPr>
            <w:tcW w:w="977" w:type="dxa"/>
            <w:noWrap w:val="0"/>
            <w:vAlign w:val="top"/>
          </w:tcPr>
          <w:p>
            <w:r>
              <w:t>0x02</w:t>
            </w:r>
          </w:p>
          <w:p>
            <w:r>
              <w:t>0x92</w:t>
            </w:r>
          </w:p>
        </w:tc>
        <w:tc>
          <w:tcPr>
            <w:tcW w:w="878" w:type="dxa"/>
            <w:noWrap w:val="0"/>
            <w:vAlign w:val="top"/>
          </w:tcPr>
          <w:p>
            <w:r>
              <w:t>0xFF</w:t>
            </w:r>
          </w:p>
          <w:p>
            <w:r>
              <w:t>0x9B</w:t>
            </w:r>
          </w:p>
        </w:tc>
        <w:tc>
          <w:tcPr>
            <w:tcW w:w="1202" w:type="dxa"/>
            <w:noWrap w:val="0"/>
            <w:vAlign w:val="top"/>
          </w:tcPr>
          <w:p>
            <w:r>
              <w:t>0x5A</w:t>
            </w:r>
          </w:p>
        </w:tc>
        <w:tc>
          <w:tcPr>
            <w:tcW w:w="1080" w:type="dxa"/>
            <w:noWrap w:val="0"/>
            <w:vAlign w:val="top"/>
          </w:tcPr>
          <w:p>
            <w:r>
              <w:t>0x3D</w:t>
            </w:r>
          </w:p>
        </w:tc>
      </w:tr>
    </w:tbl>
    <w:p>
      <w:pPr>
        <w:pStyle w:val="16"/>
        <w:spacing w:after="0" w:line="320" w:lineRule="exact"/>
        <w:ind w:firstLine="490"/>
        <w:rPr>
          <w:rFonts w:hint="eastAsia"/>
          <w:spacing w:val="-2"/>
          <w:lang w:eastAsia="zh-CN"/>
        </w:rPr>
      </w:pPr>
      <w:r>
        <w:rPr>
          <w:spacing w:val="-2"/>
          <w:lang w:eastAsia="zh-CN"/>
        </w:rPr>
        <w:t>土壤</w:t>
      </w:r>
      <w:r>
        <w:rPr>
          <w:spacing w:val="-2"/>
        </w:rPr>
        <w:t>温度：</w:t>
      </w:r>
    </w:p>
    <w:p>
      <w:pPr>
        <w:pStyle w:val="16"/>
        <w:spacing w:after="0" w:line="320" w:lineRule="exact"/>
        <w:ind w:firstLine="490"/>
        <w:rPr>
          <w:spacing w:val="-2"/>
        </w:rPr>
      </w:pPr>
      <w:r>
        <w:rPr>
          <w:spacing w:val="-2"/>
        </w:rPr>
        <w:t>当温度低于零度时以补码形式上传</w:t>
      </w:r>
    </w:p>
    <w:p>
      <w:pPr>
        <w:pStyle w:val="16"/>
        <w:spacing w:after="0" w:line="320" w:lineRule="exact"/>
        <w:ind w:firstLine="490"/>
      </w:pPr>
      <w:r>
        <w:rPr>
          <w:rFonts w:eastAsia="Times New Roman"/>
          <w:spacing w:val="-2"/>
        </w:rPr>
        <w:t>FF9B</w:t>
      </w:r>
      <w:r>
        <w:rPr>
          <w:rFonts w:eastAsia="Times New Roman"/>
          <w:spacing w:val="-1"/>
        </w:rPr>
        <w:t>H(</w:t>
      </w:r>
      <w:r>
        <w:rPr>
          <w:spacing w:val="-1"/>
        </w:rPr>
        <w:t>十六进制</w:t>
      </w:r>
      <w:r>
        <w:rPr>
          <w:rFonts w:eastAsia="Times New Roman"/>
          <w:spacing w:val="-1"/>
        </w:rPr>
        <w:t>)=</w:t>
      </w:r>
      <w:r>
        <w:rPr>
          <w:rFonts w:eastAsia="Times New Roman"/>
        </w:rPr>
        <w:t>-101=&gt;</w:t>
      </w:r>
      <w:r>
        <w:t>温度</w:t>
      </w:r>
      <w:r>
        <w:rPr>
          <w:rFonts w:eastAsia="Times New Roman"/>
        </w:rPr>
        <w:t>=-10.1</w:t>
      </w:r>
      <w:r>
        <w:rPr>
          <w:rFonts w:ascii="宋体"/>
        </w:rPr>
        <w:t>℃</w:t>
      </w:r>
    </w:p>
    <w:p>
      <w:pPr>
        <w:pStyle w:val="16"/>
        <w:spacing w:after="0" w:line="320" w:lineRule="exact"/>
        <w:ind w:firstLine="490"/>
        <w:rPr>
          <w:rFonts w:hint="eastAsia"/>
          <w:spacing w:val="-2"/>
          <w:lang w:eastAsia="zh-CN"/>
        </w:rPr>
      </w:pPr>
      <w:r>
        <w:rPr>
          <w:spacing w:val="-2"/>
          <w:lang w:eastAsia="zh-CN"/>
        </w:rPr>
        <w:t>土壤</w:t>
      </w:r>
      <w:r>
        <w:rPr>
          <w:spacing w:val="-2"/>
        </w:rPr>
        <w:t>湿度：</w:t>
      </w:r>
    </w:p>
    <w:p>
      <w:pPr>
        <w:pStyle w:val="16"/>
        <w:spacing w:after="0" w:line="320" w:lineRule="exact"/>
        <w:ind w:firstLine="498"/>
        <w:rPr>
          <w:rFonts w:hint="eastAsia"/>
          <w:spacing w:val="-1"/>
          <w:lang w:eastAsia="zh-CN"/>
        </w:rPr>
      </w:pPr>
      <w:r>
        <w:rPr>
          <w:rFonts w:eastAsia="Times New Roman"/>
        </w:rPr>
        <w:t>292H</w:t>
      </w:r>
      <w:r>
        <w:rPr>
          <w:rFonts w:eastAsia="Times New Roman"/>
          <w:spacing w:val="-1"/>
        </w:rPr>
        <w:t>(</w:t>
      </w:r>
      <w:r>
        <w:rPr>
          <w:spacing w:val="-1"/>
        </w:rPr>
        <w:t>十六进制</w:t>
      </w:r>
      <w:r>
        <w:rPr>
          <w:rFonts w:eastAsia="Times New Roman"/>
          <w:spacing w:val="-1"/>
        </w:rPr>
        <w:t>)</w:t>
      </w:r>
      <w:r>
        <w:rPr>
          <w:rFonts w:eastAsia="Times New Roman"/>
        </w:rPr>
        <w:t>=658=&gt;</w:t>
      </w:r>
      <w:r>
        <w:t>湿度</w:t>
      </w:r>
      <w:r>
        <w:rPr>
          <w:rFonts w:eastAsia="Times New Roman"/>
        </w:rPr>
        <w:t>=</w:t>
      </w:r>
      <w:r>
        <w:rPr>
          <w:rFonts w:eastAsia="Times New Roman"/>
          <w:spacing w:val="-1"/>
        </w:rPr>
        <w:t>65.8%RH</w:t>
      </w:r>
    </w:p>
    <w:p>
      <w:pPr>
        <w:pStyle w:val="5"/>
        <w:spacing w:before="20"/>
        <w:ind w:left="0" w:firstLine="0"/>
        <w:rPr>
          <w:rFonts w:hint="eastAsia"/>
        </w:rPr>
      </w:pPr>
      <w:r>
        <w:t>读取设备地址0x01的土壤湿度值</w:t>
      </w:r>
    </w:p>
    <w:p>
      <w:pPr>
        <w:pStyle w:val="16"/>
        <w:spacing w:after="0" w:line="320" w:lineRule="exact"/>
        <w:ind w:firstLine="490"/>
        <w:rPr>
          <w:spacing w:val="-2"/>
          <w:lang w:eastAsia="zh-CN"/>
        </w:rPr>
      </w:pPr>
      <w:r>
        <w:rPr>
          <w:spacing w:val="-2"/>
        </w:rPr>
        <w:t>问询帧</w:t>
      </w:r>
    </w:p>
    <w:tbl>
      <w:tblPr>
        <w:tblStyle w:val="37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6"/>
        <w:gridCol w:w="1037"/>
        <w:gridCol w:w="1121"/>
        <w:gridCol w:w="1192"/>
        <w:gridCol w:w="1169"/>
        <w:gridCol w:w="117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6" w:type="dxa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r>
              <w:t>地址码</w:t>
            </w:r>
          </w:p>
        </w:tc>
        <w:tc>
          <w:tcPr>
            <w:tcW w:w="1037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r>
              <w:t>功能码</w:t>
            </w:r>
          </w:p>
        </w:tc>
        <w:tc>
          <w:tcPr>
            <w:tcW w:w="1121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r>
              <w:t>起始地址</w:t>
            </w:r>
          </w:p>
        </w:tc>
        <w:tc>
          <w:tcPr>
            <w:tcW w:w="119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r>
              <w:t>数据长度</w:t>
            </w:r>
          </w:p>
        </w:tc>
        <w:tc>
          <w:tcPr>
            <w:tcW w:w="1169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r>
              <w:rPr>
                <w:spacing w:val="-1"/>
              </w:rPr>
              <w:t>校验码低位</w:t>
            </w:r>
          </w:p>
        </w:tc>
        <w:tc>
          <w:tcPr>
            <w:tcW w:w="1178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noWrap w:val="0"/>
            <w:vAlign w:val="top"/>
          </w:tcPr>
          <w:p>
            <w:r>
              <w:rPr>
                <w:spacing w:val="-1"/>
              </w:rPr>
              <w:t>校验码高位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6" w:type="dxa"/>
            <w:tcBorders>
              <w:top w:val="single" w:color="000000" w:sz="4" w:space="0"/>
              <w:left w:val="single" w:color="000000" w:sz="2" w:space="0"/>
              <w:bottom w:val="single" w:color="000000" w:sz="2" w:space="0"/>
              <w:right w:val="single" w:color="000000" w:sz="4" w:space="0"/>
            </w:tcBorders>
            <w:noWrap w:val="0"/>
            <w:vAlign w:val="top"/>
          </w:tcPr>
          <w:p>
            <w:pPr>
              <w:rPr>
                <w:rFonts w:eastAsia="Times New Roman"/>
              </w:rPr>
            </w:pPr>
            <w:r>
              <w:t>0x01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noWrap w:val="0"/>
            <w:vAlign w:val="top"/>
          </w:tcPr>
          <w:p>
            <w:pPr>
              <w:rPr>
                <w:rFonts w:eastAsia="Times New Roman"/>
              </w:rPr>
            </w:pPr>
            <w:r>
              <w:t>0x03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noWrap w:val="0"/>
            <w:vAlign w:val="top"/>
          </w:tcPr>
          <w:p>
            <w:r>
              <w:t>0x00</w:t>
            </w:r>
          </w:p>
          <w:p>
            <w:pPr>
              <w:rPr>
                <w:rFonts w:hint="eastAsia"/>
              </w:rPr>
            </w:pPr>
            <w:r>
              <w:t>0x</w:t>
            </w:r>
            <w:r>
              <w:rPr>
                <w:rFonts w:hint="eastAsia"/>
              </w:rPr>
              <w:t>12</w:t>
            </w: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noWrap w:val="0"/>
            <w:vAlign w:val="top"/>
          </w:tcPr>
          <w:p>
            <w:r>
              <w:t>0x00</w:t>
            </w:r>
          </w:p>
          <w:p>
            <w:pPr>
              <w:rPr>
                <w:rFonts w:eastAsia="Times New Roman"/>
              </w:rPr>
            </w:pPr>
            <w:r>
              <w:t>0x01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noWrap w:val="0"/>
            <w:vAlign w:val="top"/>
          </w:tcPr>
          <w:p>
            <w:pPr>
              <w:rPr>
                <w:rFonts w:eastAsia="Times New Roman"/>
              </w:rPr>
            </w:pPr>
            <w:r>
              <w:rPr>
                <w:spacing w:val="-1"/>
              </w:rPr>
              <w:t>0X</w:t>
            </w:r>
            <w:r>
              <w:rPr>
                <w:rFonts w:hint="eastAsia"/>
                <w:spacing w:val="-1"/>
              </w:rPr>
              <w:t>24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rFonts w:eastAsia="Times New Roman"/>
              </w:rPr>
            </w:pPr>
            <w:r>
              <w:t>0x</w:t>
            </w:r>
            <w:r>
              <w:rPr>
                <w:rFonts w:hint="eastAsia"/>
              </w:rPr>
              <w:t>0F</w:t>
            </w:r>
          </w:p>
        </w:tc>
      </w:tr>
    </w:tbl>
    <w:p>
      <w:pPr>
        <w:pStyle w:val="16"/>
        <w:spacing w:after="0"/>
        <w:ind w:firstLine="479" w:firstLineChars="196"/>
        <w:rPr>
          <w:sz w:val="4"/>
          <w:szCs w:val="4"/>
          <w:lang w:eastAsia="zh-CN"/>
        </w:rPr>
      </w:pPr>
      <w:r>
        <w:rPr>
          <w:spacing w:val="-2"/>
        </w:rPr>
        <w:t>应答帧（例如读到湿度为</w:t>
      </w:r>
      <w:r>
        <w:rPr>
          <w:spacing w:val="-1"/>
          <w:lang w:val="en-US" w:eastAsia="zh-CN"/>
        </w:rPr>
        <w:t>7.4</w:t>
      </w:r>
      <w:r>
        <w:rPr>
          <w:rFonts w:eastAsia="Times New Roman"/>
          <w:spacing w:val="-1"/>
        </w:rPr>
        <w:t>%RH</w:t>
      </w:r>
      <w:r>
        <w:rPr>
          <w:spacing w:val="-1"/>
        </w:rPr>
        <w:t>）</w:t>
      </w:r>
    </w:p>
    <w:tbl>
      <w:tblPr>
        <w:tblStyle w:val="37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6"/>
        <w:gridCol w:w="980"/>
        <w:gridCol w:w="1052"/>
        <w:gridCol w:w="1209"/>
        <w:gridCol w:w="1293"/>
        <w:gridCol w:w="129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r>
              <w:t>地址码</w:t>
            </w:r>
          </w:p>
        </w:tc>
        <w:tc>
          <w:tcPr>
            <w:tcW w:w="980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r>
              <w:t>功能码</w:t>
            </w:r>
          </w:p>
        </w:tc>
        <w:tc>
          <w:tcPr>
            <w:tcW w:w="105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r>
              <w:t>字节数</w:t>
            </w:r>
          </w:p>
        </w:tc>
        <w:tc>
          <w:tcPr>
            <w:tcW w:w="1209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r>
              <w:t>湿度值</w:t>
            </w:r>
          </w:p>
        </w:tc>
        <w:tc>
          <w:tcPr>
            <w:tcW w:w="1293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r>
              <w:rPr>
                <w:spacing w:val="-1"/>
              </w:rPr>
              <w:t>校验码低位</w:t>
            </w:r>
          </w:p>
        </w:tc>
        <w:tc>
          <w:tcPr>
            <w:tcW w:w="1293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noWrap w:val="0"/>
            <w:vAlign w:val="top"/>
          </w:tcPr>
          <w:p>
            <w:r>
              <w:rPr>
                <w:spacing w:val="-1"/>
              </w:rPr>
              <w:t>校验码高位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tcBorders>
              <w:top w:val="single" w:color="000000" w:sz="4" w:space="0"/>
              <w:left w:val="single" w:color="000000" w:sz="2" w:space="0"/>
              <w:bottom w:val="single" w:color="000000" w:sz="2" w:space="0"/>
              <w:right w:val="single" w:color="000000" w:sz="4" w:space="0"/>
            </w:tcBorders>
            <w:noWrap w:val="0"/>
            <w:vAlign w:val="top"/>
          </w:tcPr>
          <w:p>
            <w:pPr>
              <w:rPr>
                <w:rFonts w:eastAsia="Times New Roman"/>
              </w:rPr>
            </w:pPr>
            <w:r>
              <w:t>0x01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noWrap w:val="0"/>
            <w:vAlign w:val="top"/>
          </w:tcPr>
          <w:p>
            <w:pPr>
              <w:rPr>
                <w:rFonts w:eastAsia="Times New Roman"/>
              </w:rPr>
            </w:pPr>
            <w:r>
              <w:t>0x03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noWrap w:val="0"/>
            <w:vAlign w:val="top"/>
          </w:tcPr>
          <w:p>
            <w:pPr>
              <w:rPr>
                <w:rFonts w:eastAsia="Times New Roman"/>
              </w:rPr>
            </w:pPr>
            <w:r>
              <w:t>0x02</w:t>
            </w:r>
          </w:p>
        </w:tc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noWrap w:val="0"/>
            <w:vAlign w:val="top"/>
          </w:tcPr>
          <w:p>
            <w:r>
              <w:t>0x00</w:t>
            </w:r>
          </w:p>
          <w:p>
            <w:pPr>
              <w:rPr>
                <w:rFonts w:eastAsia="Times New Roman"/>
              </w:rPr>
            </w:pPr>
            <w:r>
              <w:t>0x4A</w:t>
            </w: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noWrap w:val="0"/>
            <w:vAlign w:val="top"/>
          </w:tcPr>
          <w:p>
            <w:pPr>
              <w:rPr>
                <w:rFonts w:eastAsia="Times New Roman"/>
              </w:rPr>
            </w:pPr>
            <w:r>
              <w:t>0x39</w:t>
            </w: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rFonts w:eastAsia="Times New Roman"/>
              </w:rPr>
            </w:pPr>
            <w:r>
              <w:t>0xB3</w:t>
            </w:r>
          </w:p>
        </w:tc>
      </w:tr>
    </w:tbl>
    <w:p>
      <w:pPr>
        <w:pStyle w:val="16"/>
        <w:spacing w:after="0" w:line="320" w:lineRule="exact"/>
        <w:ind w:firstLine="490"/>
        <w:rPr>
          <w:rFonts w:hint="eastAsia"/>
          <w:spacing w:val="-2"/>
          <w:lang w:eastAsia="zh-CN"/>
        </w:rPr>
      </w:pPr>
      <w:r>
        <w:rPr>
          <w:spacing w:val="-2"/>
          <w:lang w:eastAsia="zh-CN"/>
        </w:rPr>
        <w:t>土壤</w:t>
      </w:r>
      <w:r>
        <w:rPr>
          <w:spacing w:val="-2"/>
        </w:rPr>
        <w:t>湿度：</w:t>
      </w:r>
    </w:p>
    <w:p>
      <w:pPr>
        <w:pStyle w:val="16"/>
        <w:spacing w:after="0" w:line="320" w:lineRule="exact"/>
        <w:ind w:firstLine="478"/>
      </w:pPr>
      <w:r>
        <w:rPr>
          <w:spacing w:val="-5"/>
          <w:lang w:val="en-US" w:eastAsia="zh-CN"/>
        </w:rPr>
        <w:t>4A</w:t>
      </w:r>
      <w:r>
        <w:rPr>
          <w:rFonts w:eastAsia="Times New Roman"/>
        </w:rPr>
        <w:t>H</w:t>
      </w:r>
      <w:r>
        <w:rPr>
          <w:rFonts w:eastAsia="Times New Roman"/>
          <w:spacing w:val="-1"/>
        </w:rPr>
        <w:t>(</w:t>
      </w:r>
      <w:r>
        <w:rPr>
          <w:spacing w:val="-1"/>
        </w:rPr>
        <w:t>十六进制</w:t>
      </w:r>
      <w:r>
        <w:rPr>
          <w:rFonts w:eastAsia="Times New Roman"/>
          <w:spacing w:val="-1"/>
        </w:rPr>
        <w:t>)</w:t>
      </w:r>
      <w:r>
        <w:rPr>
          <w:rFonts w:eastAsia="Times New Roman"/>
        </w:rPr>
        <w:t>=</w:t>
      </w:r>
      <w:r>
        <w:rPr>
          <w:lang w:val="en-US" w:eastAsia="zh-CN"/>
        </w:rPr>
        <w:t>74</w:t>
      </w:r>
      <w:r>
        <w:rPr>
          <w:rFonts w:eastAsia="Times New Roman"/>
        </w:rPr>
        <w:t>=&gt;</w:t>
      </w:r>
      <w:r>
        <w:t>湿度</w:t>
      </w:r>
      <w:r>
        <w:rPr>
          <w:rFonts w:eastAsia="Times New Roman"/>
        </w:rPr>
        <w:t>=</w:t>
      </w:r>
      <w:r>
        <w:rPr>
          <w:spacing w:val="-1"/>
          <w:lang w:val="en-US" w:eastAsia="zh-CN"/>
        </w:rPr>
        <w:t>7.4</w:t>
      </w:r>
      <w:r>
        <w:rPr>
          <w:rFonts w:eastAsia="Times New Roman"/>
          <w:spacing w:val="-1"/>
        </w:rPr>
        <w:t>%RH</w:t>
      </w:r>
    </w:p>
    <w:p>
      <w:pPr>
        <w:pStyle w:val="16"/>
        <w:spacing w:after="0" w:line="320" w:lineRule="exact"/>
        <w:ind w:firstLine="478"/>
      </w:pPr>
      <w:bookmarkStart w:id="20" w:name="_GoBack"/>
      <w:bookmarkEnd w:id="20"/>
    </w:p>
    <w:sectPr>
      <w:endnotePr>
        <w:numFmt w:val="decimal"/>
      </w:endnotePr>
      <w:pgSz w:w="8392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New York">
    <w:altName w:val="Segoe Print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2" o:spt="1" style="position:absolute;left:0pt;margin-left:0pt;margin-top:0.15pt;height:14.4pt;width:42pt;mso-position-horizontal-relative:margin;z-index:-251651072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15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  <w:p>
    <w:pPr>
      <w:pStyle w:val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1" o:spt="1" style="position:absolute;left:0pt;margin-top:-0.05pt;height:14.4pt;width:42pt;mso-position-horizontal:right;mso-position-horizontal-relative:margin;z-index:-25165312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14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  <w:p>
    <w:pPr>
      <w:pStyle w:val="2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537845</wp:posOffset>
          </wp:positionH>
          <wp:positionV relativeFrom="page">
            <wp:posOffset>483870</wp:posOffset>
          </wp:positionV>
          <wp:extent cx="2353310" cy="269240"/>
          <wp:effectExtent l="0" t="0" r="0" b="0"/>
          <wp:wrapNone/>
          <wp:docPr id="11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2049" o:spt="20" style="position:absolute;left:0pt;margin-left:170.55pt;margin-top:18.1pt;height:0pt;width:154.75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attachedTemplate r:id="rId1"/>
  <w:documentProtection w:enforcement="0"/>
  <w:defaultTabStop w:val="578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011A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64E0C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71EA"/>
    <w:rsid w:val="00501E86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37DA3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F0A49"/>
    <w:rsid w:val="006F47AC"/>
    <w:rsid w:val="006F596C"/>
    <w:rsid w:val="006F6377"/>
    <w:rsid w:val="006F79E4"/>
    <w:rsid w:val="007014F6"/>
    <w:rsid w:val="00703A71"/>
    <w:rsid w:val="007171DB"/>
    <w:rsid w:val="00721330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1249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E6D04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3707"/>
    <w:rsid w:val="00C3686C"/>
    <w:rsid w:val="00C4457D"/>
    <w:rsid w:val="00C44FF7"/>
    <w:rsid w:val="00C50ACC"/>
    <w:rsid w:val="00C5206F"/>
    <w:rsid w:val="00C6221D"/>
    <w:rsid w:val="00C63335"/>
    <w:rsid w:val="00C722CA"/>
    <w:rsid w:val="00C766B1"/>
    <w:rsid w:val="00C76814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0794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E3F91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21E594F"/>
    <w:rsid w:val="02CA23A6"/>
    <w:rsid w:val="04B56BB8"/>
    <w:rsid w:val="054F7921"/>
    <w:rsid w:val="0561436D"/>
    <w:rsid w:val="061240D5"/>
    <w:rsid w:val="076F5F08"/>
    <w:rsid w:val="08C36BBA"/>
    <w:rsid w:val="090C0E49"/>
    <w:rsid w:val="09CD5028"/>
    <w:rsid w:val="0BD900EE"/>
    <w:rsid w:val="0DAE20F3"/>
    <w:rsid w:val="0EEC5A9C"/>
    <w:rsid w:val="108F25C1"/>
    <w:rsid w:val="1228513B"/>
    <w:rsid w:val="12AC280A"/>
    <w:rsid w:val="13DA64D8"/>
    <w:rsid w:val="144236EC"/>
    <w:rsid w:val="145D5BEE"/>
    <w:rsid w:val="14CF7A7C"/>
    <w:rsid w:val="15B0374A"/>
    <w:rsid w:val="16A7233D"/>
    <w:rsid w:val="16B05340"/>
    <w:rsid w:val="170B369D"/>
    <w:rsid w:val="1721452E"/>
    <w:rsid w:val="18FB457E"/>
    <w:rsid w:val="1A0755D3"/>
    <w:rsid w:val="1A20670E"/>
    <w:rsid w:val="1B1C7EED"/>
    <w:rsid w:val="1B65407A"/>
    <w:rsid w:val="1BBF0739"/>
    <w:rsid w:val="1FB55779"/>
    <w:rsid w:val="20C365AA"/>
    <w:rsid w:val="236B3EFD"/>
    <w:rsid w:val="23A401F3"/>
    <w:rsid w:val="23A8357E"/>
    <w:rsid w:val="24CE6DE0"/>
    <w:rsid w:val="250F67FF"/>
    <w:rsid w:val="262027F4"/>
    <w:rsid w:val="26384D6A"/>
    <w:rsid w:val="267366EE"/>
    <w:rsid w:val="268D4580"/>
    <w:rsid w:val="27210CDD"/>
    <w:rsid w:val="27991BCE"/>
    <w:rsid w:val="27EC4949"/>
    <w:rsid w:val="27F43A2B"/>
    <w:rsid w:val="28882B25"/>
    <w:rsid w:val="28CB2CC2"/>
    <w:rsid w:val="292B4709"/>
    <w:rsid w:val="2A477052"/>
    <w:rsid w:val="2A761913"/>
    <w:rsid w:val="2B3C4D02"/>
    <w:rsid w:val="2BBD73D9"/>
    <w:rsid w:val="2BEC1A94"/>
    <w:rsid w:val="2D8E1A46"/>
    <w:rsid w:val="2E546549"/>
    <w:rsid w:val="2EEF3AAC"/>
    <w:rsid w:val="2F1360E3"/>
    <w:rsid w:val="2F522768"/>
    <w:rsid w:val="313A7956"/>
    <w:rsid w:val="318D5DF1"/>
    <w:rsid w:val="346930B5"/>
    <w:rsid w:val="35882E67"/>
    <w:rsid w:val="36E84106"/>
    <w:rsid w:val="3A113CD3"/>
    <w:rsid w:val="3C245575"/>
    <w:rsid w:val="3D5A01C3"/>
    <w:rsid w:val="3E0C25B9"/>
    <w:rsid w:val="40702162"/>
    <w:rsid w:val="410D6B0D"/>
    <w:rsid w:val="421F7F18"/>
    <w:rsid w:val="42287091"/>
    <w:rsid w:val="42A74992"/>
    <w:rsid w:val="42AA5B4D"/>
    <w:rsid w:val="42F92930"/>
    <w:rsid w:val="448418C2"/>
    <w:rsid w:val="44B8767B"/>
    <w:rsid w:val="465F20DE"/>
    <w:rsid w:val="46A34DEF"/>
    <w:rsid w:val="470A5C29"/>
    <w:rsid w:val="48014218"/>
    <w:rsid w:val="484411A6"/>
    <w:rsid w:val="48C722E2"/>
    <w:rsid w:val="4A934A16"/>
    <w:rsid w:val="4AB4670A"/>
    <w:rsid w:val="4BB560A9"/>
    <w:rsid w:val="4C603508"/>
    <w:rsid w:val="4CC54A0F"/>
    <w:rsid w:val="503532D5"/>
    <w:rsid w:val="5035544E"/>
    <w:rsid w:val="505A1117"/>
    <w:rsid w:val="53A72321"/>
    <w:rsid w:val="54513CD6"/>
    <w:rsid w:val="55B65519"/>
    <w:rsid w:val="56B72361"/>
    <w:rsid w:val="596D42AF"/>
    <w:rsid w:val="5A0008B8"/>
    <w:rsid w:val="5A6D694E"/>
    <w:rsid w:val="5AFF20BA"/>
    <w:rsid w:val="5BC3757F"/>
    <w:rsid w:val="5CE91E8F"/>
    <w:rsid w:val="5D017BF7"/>
    <w:rsid w:val="5D620359"/>
    <w:rsid w:val="5D7C0E82"/>
    <w:rsid w:val="5E0529D6"/>
    <w:rsid w:val="5E7E7451"/>
    <w:rsid w:val="5EA308D7"/>
    <w:rsid w:val="5F447033"/>
    <w:rsid w:val="5FC3108A"/>
    <w:rsid w:val="608012C0"/>
    <w:rsid w:val="60F5049E"/>
    <w:rsid w:val="62136766"/>
    <w:rsid w:val="62390A19"/>
    <w:rsid w:val="628A00B4"/>
    <w:rsid w:val="643B30F1"/>
    <w:rsid w:val="644B2E76"/>
    <w:rsid w:val="648C5E8C"/>
    <w:rsid w:val="650A0A3E"/>
    <w:rsid w:val="65955875"/>
    <w:rsid w:val="65A753C3"/>
    <w:rsid w:val="66314540"/>
    <w:rsid w:val="67EA7083"/>
    <w:rsid w:val="68995752"/>
    <w:rsid w:val="68BB1416"/>
    <w:rsid w:val="6B7B5F02"/>
    <w:rsid w:val="6BAC0D39"/>
    <w:rsid w:val="6BCC4A91"/>
    <w:rsid w:val="6CF426B0"/>
    <w:rsid w:val="6D881782"/>
    <w:rsid w:val="6D9A5831"/>
    <w:rsid w:val="6F271A08"/>
    <w:rsid w:val="70456E49"/>
    <w:rsid w:val="72D23B8D"/>
    <w:rsid w:val="731F4455"/>
    <w:rsid w:val="73321552"/>
    <w:rsid w:val="7336604D"/>
    <w:rsid w:val="73C74579"/>
    <w:rsid w:val="747C4548"/>
    <w:rsid w:val="750E5829"/>
    <w:rsid w:val="768222BC"/>
    <w:rsid w:val="77B973A8"/>
    <w:rsid w:val="78AC12AF"/>
    <w:rsid w:val="79811B17"/>
    <w:rsid w:val="799F37DC"/>
    <w:rsid w:val="7A830CB6"/>
    <w:rsid w:val="7AD34B82"/>
    <w:rsid w:val="7B2B5ADA"/>
    <w:rsid w:val="7BEC5782"/>
    <w:rsid w:val="7EC176A6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qFormat="1" w:unhideWhenUsed="0" w:uiPriority="0" w:name="footnote reference"/>
    <w:lsdException w:qFormat="1" w:unhideWhenUsed="0" w:uiPriority="0" w:name="annotation reference"/>
    <w:lsdException w:uiPriority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99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pageBreakBefore w:val="0"/>
      <w:numPr>
        <w:ilvl w:val="0"/>
        <w:numId w:val="1"/>
      </w:numPr>
      <w:spacing w:before="120" w:after="40"/>
      <w:ind w:left="0" w:firstLine="0"/>
      <w:jc w:val="left"/>
    </w:pPr>
  </w:style>
  <w:style w:type="paragraph" w:styleId="3">
    <w:name w:val="heading 2"/>
    <w:basedOn w:val="1"/>
    <w:next w:val="1"/>
    <w:link w:val="53"/>
    <w:qFormat/>
    <w:uiPriority w:val="0"/>
    <w:pPr>
      <w:keepNext/>
      <w:keepLines/>
      <w:numPr>
        <w:ilvl w:val="1"/>
        <w:numId w:val="1"/>
      </w:numPr>
      <w:spacing w:before="20" w:after="20"/>
      <w:outlineLvl w:val="1"/>
    </w:pPr>
    <w:rPr>
      <w:rFonts w:eastAsia="黑体"/>
      <w:sz w:val="30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7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61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55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7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3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5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"/>
    <w:basedOn w:val="1"/>
    <w:link w:val="7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66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51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7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8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57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7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4">
    <w:name w:val="Strong"/>
    <w:qFormat/>
    <w:uiPriority w:val="22"/>
    <w:rPr>
      <w:b/>
      <w:bCs/>
    </w:rPr>
  </w:style>
  <w:style w:type="character" w:styleId="45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6">
    <w:name w:val="page number"/>
    <w:basedOn w:val="43"/>
    <w:qFormat/>
    <w:uiPriority w:val="0"/>
  </w:style>
  <w:style w:type="character" w:styleId="47">
    <w:name w:val="FollowedHyperlink"/>
    <w:qFormat/>
    <w:uiPriority w:val="0"/>
    <w:rPr>
      <w:color w:val="800080"/>
      <w:u w:val="single"/>
    </w:rPr>
  </w:style>
  <w:style w:type="character" w:styleId="48">
    <w:name w:val="Hyperlink"/>
    <w:qFormat/>
    <w:uiPriority w:val="99"/>
    <w:rPr>
      <w:color w:val="0000FF"/>
      <w:u w:val="single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character" w:customStyle="1" w:styleId="51">
    <w:name w:val="纯文本 字符"/>
    <w:basedOn w:val="43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52">
    <w:name w:val="附表二级标题 Char"/>
    <w:basedOn w:val="53"/>
    <w:link w:val="54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3">
    <w:name w:val="标题 2 字符"/>
    <w:basedOn w:val="43"/>
    <w:link w:val="3"/>
    <w:qFormat/>
    <w:uiPriority w:val="0"/>
    <w:rPr>
      <w:rFonts w:eastAsia="黑体"/>
      <w:kern w:val="2"/>
      <w:sz w:val="30"/>
    </w:rPr>
  </w:style>
  <w:style w:type="paragraph" w:customStyle="1" w:styleId="54">
    <w:name w:val="附表二级标题"/>
    <w:basedOn w:val="3"/>
    <w:link w:val="52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5">
    <w:name w:val="标题 8 字符"/>
    <w:basedOn w:val="43"/>
    <w:link w:val="10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6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7">
    <w:name w:val="副标题 字符"/>
    <w:basedOn w:val="43"/>
    <w:link w:val="28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8">
    <w:name w:val="正文首行缩进 字符"/>
    <w:link w:val="4"/>
    <w:qFormat/>
    <w:uiPriority w:val="0"/>
    <w:rPr>
      <w:kern w:val="2"/>
      <w:sz w:val="24"/>
    </w:rPr>
  </w:style>
  <w:style w:type="character" w:customStyle="1" w:styleId="59">
    <w:name w:val="hps"/>
    <w:qFormat/>
    <w:uiPriority w:val="0"/>
  </w:style>
  <w:style w:type="character" w:customStyle="1" w:styleId="60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1">
    <w:name w:val="标题 7 字符"/>
    <w:basedOn w:val="43"/>
    <w:link w:val="9"/>
    <w:qFormat/>
    <w:uiPriority w:val="0"/>
    <w:rPr>
      <w:b/>
      <w:bCs/>
      <w:sz w:val="24"/>
      <w:szCs w:val="24"/>
      <w:lang w:val="en-US" w:eastAsia="zh-CN"/>
    </w:rPr>
  </w:style>
  <w:style w:type="character" w:customStyle="1" w:styleId="62">
    <w:name w:val="high-light-bg"/>
    <w:basedOn w:val="43"/>
    <w:qFormat/>
    <w:uiPriority w:val="0"/>
  </w:style>
  <w:style w:type="character" w:customStyle="1" w:styleId="63">
    <w:name w:val="apple-converted-space"/>
    <w:basedOn w:val="43"/>
    <w:qFormat/>
    <w:uiPriority w:val="0"/>
  </w:style>
  <w:style w:type="character" w:customStyle="1" w:styleId="64">
    <w:name w:val="hit"/>
    <w:basedOn w:val="43"/>
    <w:qFormat/>
    <w:uiPriority w:val="0"/>
  </w:style>
  <w:style w:type="character" w:customStyle="1" w:styleId="65">
    <w:name w:val="it"/>
    <w:basedOn w:val="43"/>
    <w:qFormat/>
    <w:uiPriority w:val="0"/>
  </w:style>
  <w:style w:type="character" w:customStyle="1" w:styleId="66">
    <w:name w:val="正文文本缩进 字符"/>
    <w:link w:val="17"/>
    <w:qFormat/>
    <w:uiPriority w:val="0"/>
    <w:rPr>
      <w:kern w:val="2"/>
      <w:sz w:val="24"/>
    </w:rPr>
  </w:style>
  <w:style w:type="character" w:customStyle="1" w:styleId="67">
    <w:name w:val="标题 6 字符"/>
    <w:basedOn w:val="43"/>
    <w:link w:val="8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8">
    <w:name w:val="txt"/>
    <w:basedOn w:val="43"/>
    <w:qFormat/>
    <w:uiPriority w:val="0"/>
  </w:style>
  <w:style w:type="character" w:customStyle="1" w:styleId="69">
    <w:name w:val="short_text"/>
    <w:qFormat/>
    <w:uiPriority w:val="0"/>
  </w:style>
  <w:style w:type="character" w:customStyle="1" w:styleId="70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1">
    <w:name w:val="videolength"/>
    <w:basedOn w:val="43"/>
    <w:qFormat/>
    <w:uiPriority w:val="0"/>
  </w:style>
  <w:style w:type="character" w:customStyle="1" w:styleId="72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3">
    <w:name w:val="HTML 预设格式 字符"/>
    <w:basedOn w:val="43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74">
    <w:name w:val="封面内容"/>
    <w:basedOn w:val="43"/>
    <w:qFormat/>
    <w:uiPriority w:val="0"/>
    <w:rPr>
      <w:sz w:val="28"/>
    </w:rPr>
  </w:style>
  <w:style w:type="character" w:customStyle="1" w:styleId="75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6">
    <w:name w:val="正文文本 字符"/>
    <w:basedOn w:val="43"/>
    <w:link w:val="16"/>
    <w:qFormat/>
    <w:uiPriority w:val="0"/>
    <w:rPr>
      <w:sz w:val="24"/>
      <w:lang w:val="en-US" w:eastAsia="zh-CN"/>
    </w:rPr>
  </w:style>
  <w:style w:type="character" w:customStyle="1" w:styleId="77">
    <w:name w:val="摘要题目"/>
    <w:basedOn w:val="43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8">
    <w:name w:val="标题 9 字符"/>
    <w:basedOn w:val="43"/>
    <w:link w:val="11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79">
    <w:name w:val="标题 5 字符"/>
    <w:basedOn w:val="43"/>
    <w:link w:val="7"/>
    <w:qFormat/>
    <w:uiPriority w:val="0"/>
    <w:rPr>
      <w:b/>
      <w:bCs/>
      <w:sz w:val="28"/>
      <w:szCs w:val="28"/>
      <w:lang w:val="en-US" w:eastAsia="zh-CN"/>
    </w:rPr>
  </w:style>
  <w:style w:type="character" w:customStyle="1" w:styleId="80">
    <w:name w:val="提示 Char"/>
    <w:link w:val="81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1">
    <w:name w:val="提示"/>
    <w:basedOn w:val="1"/>
    <w:link w:val="80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2">
    <w:name w:val="bf"/>
    <w:basedOn w:val="43"/>
    <w:qFormat/>
    <w:uiPriority w:val="0"/>
  </w:style>
  <w:style w:type="character" w:customStyle="1" w:styleId="83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4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5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6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8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0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1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2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3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4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5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6">
    <w:name w:val="图题"/>
    <w:basedOn w:val="1"/>
    <w:qFormat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7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98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99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0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1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2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03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4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5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6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7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8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0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0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1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2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3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4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5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章标题(不加入目录内)"/>
    <w:basedOn w:val="35"/>
    <w:qFormat/>
    <w:uiPriority w:val="0"/>
    <w:pPr>
      <w:outlineLvl w:val="9"/>
    </w:pPr>
  </w:style>
  <w:style w:type="paragraph" w:customStyle="1" w:styleId="117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8">
    <w:name w:val="Char Char Char Char"/>
    <w:basedOn w:val="1"/>
    <w:qFormat/>
    <w:uiPriority w:val="0"/>
    <w:rPr>
      <w:rFonts w:ascii="Tahoma" w:hAnsi="Tahoma"/>
    </w:rPr>
  </w:style>
  <w:style w:type="paragraph" w:customStyle="1" w:styleId="119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0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121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2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4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5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6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7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8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29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0">
    <w:name w:val="中等深浅底纹 2 - 强调文字颜色 11"/>
    <w:basedOn w:val="40"/>
    <w:qFormat/>
    <w:uiPriority w:val="64"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2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3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34">
    <w:name w:val="fontstyle01"/>
    <w:basedOn w:val="43"/>
    <w:qFormat/>
    <w:uiPriority w:val="0"/>
    <w:rPr>
      <w:rFonts w:hint="eastAsia" w:ascii="宋体" w:hAnsi="宋体" w:eastAsia="宋体" w:cs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7.png"/><Relationship Id="rId14" Type="http://schemas.openxmlformats.org/officeDocument/2006/relationships/image" Target="media/image6.png"/><Relationship Id="rId13" Type="http://schemas.openxmlformats.org/officeDocument/2006/relationships/image" Target="media/image5.png"/><Relationship Id="rId12" Type="http://schemas.openxmlformats.org/officeDocument/2006/relationships/image" Target="media/image4.jpeg"/><Relationship Id="rId11" Type="http://schemas.openxmlformats.org/officeDocument/2006/relationships/image" Target="media/image3.jpe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D5BBA7-461B-4B0E-8C90-4F5195BBEB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Company>hitwx</Company>
  <Pages>13</Pages>
  <Words>473</Words>
  <Characters>2702</Characters>
  <Lines>22</Lines>
  <Paragraphs>6</Paragraphs>
  <TotalTime>0</TotalTime>
  <ScaleCrop>false</ScaleCrop>
  <LinksUpToDate>false</LinksUpToDate>
  <CharactersWithSpaces>3169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SID0809</cp:lastModifiedBy>
  <cp:lastPrinted>2017-07-26T09:13:00Z</cp:lastPrinted>
  <dcterms:modified xsi:type="dcterms:W3CDTF">2021-02-22T08:21:51Z</dcterms:modified>
  <dc:title>哈尔滨工业大学硕士毕业论文模板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2052-11.3.0.9228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