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72"/>
          <w:szCs w:val="72"/>
          <w:lang w:val="en-US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-16510</wp:posOffset>
            </wp:positionH>
            <wp:positionV relativeFrom="page">
              <wp:posOffset>-142240</wp:posOffset>
            </wp:positionV>
            <wp:extent cx="5388610" cy="7919720"/>
            <wp:effectExtent l="0" t="0" r="2540" b="508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8610" cy="7919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8" w:hRule="atLeast"/>
        </w:trPr>
        <w:tc>
          <w:tcPr>
            <w:tcW w:w="6663" w:type="dxa"/>
            <w:noWrap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72"/>
                <w:szCs w:val="7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72"/>
                <w:szCs w:val="72"/>
              </w:rPr>
              <w:t>智慧公厕客流统计传感器</w:t>
            </w:r>
          </w:p>
          <w:p>
            <w:pPr>
              <w:jc w:val="right"/>
              <w:rPr>
                <w:rFonts w:hint="eastAsia" w:eastAsia="宋体"/>
                <w:b/>
                <w:bCs/>
                <w:sz w:val="36"/>
                <w:szCs w:val="72"/>
                <w:lang w:eastAsia="zh-CN"/>
              </w:rPr>
            </w:pPr>
            <w:bookmarkStart w:id="7" w:name="_GoBack"/>
            <w:r>
              <w:rPr>
                <w:rFonts w:hint="eastAsia"/>
                <w:b/>
                <w:bCs/>
                <w:color w:val="000000"/>
                <w:sz w:val="44"/>
                <w:szCs w:val="44"/>
              </w:rPr>
              <w:t>JX</w:t>
            </w:r>
            <w:r>
              <w:rPr>
                <w:rFonts w:hint="eastAsia"/>
                <w:b/>
                <w:bCs/>
                <w:color w:val="000000"/>
                <w:sz w:val="44"/>
                <w:szCs w:val="44"/>
                <w:lang w:val="en-US" w:eastAsia="zh-CN"/>
              </w:rPr>
              <w:t>GC</w:t>
            </w:r>
            <w:r>
              <w:rPr>
                <w:rFonts w:hint="eastAsia"/>
                <w:b/>
                <w:bCs/>
                <w:color w:val="000000"/>
                <w:sz w:val="44"/>
                <w:szCs w:val="44"/>
              </w:rPr>
              <w:t>-PFC</w:t>
            </w:r>
            <w:bookmarkEnd w:id="7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both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keepNext w:val="0"/>
        <w:keepLines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431" w:hanging="431"/>
        <w:jc w:val="left"/>
        <w:textAlignment w:val="auto"/>
      </w:pPr>
      <w:r>
        <w:rPr>
          <w:rFonts w:hint="eastAsia"/>
        </w:rPr>
        <w:t>产品简介</w:t>
      </w:r>
    </w:p>
    <w:p>
      <w:pPr>
        <w:pStyle w:val="3"/>
        <w:bidi w:val="0"/>
      </w:pPr>
      <w:r>
        <w:rPr>
          <w:rFonts w:hint="eastAsia"/>
          <w:lang w:eastAsia="zh-CN"/>
        </w:rPr>
        <w:t>背景</w:t>
      </w:r>
    </w:p>
    <w:p>
      <w:pPr>
        <w:spacing w:line="320" w:lineRule="exact"/>
        <w:ind w:firstLine="498" w:firstLineChars="200"/>
        <w:rPr>
          <w:rFonts w:hint="eastAsia" w:ascii="宋体" w:hAnsi="宋体" w:cs="宋体"/>
          <w:color w:val="000000"/>
          <w:lang w:val="zh-CN" w:bidi="zh-CN"/>
        </w:rPr>
      </w:pPr>
      <w:r>
        <w:rPr>
          <w:rFonts w:hint="eastAsia" w:ascii="宋体" w:hAnsi="宋体" w:eastAsia="宋体" w:cs="宋体"/>
          <w:szCs w:val="28"/>
        </w:rPr>
        <w:t>为</w:t>
      </w:r>
      <w:r>
        <w:rPr>
          <w:rFonts w:hint="eastAsia" w:ascii="宋体" w:hAnsi="宋体" w:eastAsia="宋体" w:cs="宋体"/>
          <w:szCs w:val="28"/>
          <w:lang w:eastAsia="zh-CN"/>
        </w:rPr>
        <w:t>响应</w:t>
      </w:r>
      <w:r>
        <w:rPr>
          <w:rFonts w:hint="eastAsia" w:ascii="宋体" w:hAnsi="宋体" w:cs="宋体"/>
          <w:szCs w:val="28"/>
          <w:lang w:eastAsia="zh-CN"/>
        </w:rPr>
        <w:t>、贯彻落实</w:t>
      </w:r>
      <w:r>
        <w:rPr>
          <w:rFonts w:hint="eastAsia" w:ascii="宋体" w:hAnsi="宋体" w:eastAsia="宋体" w:cs="宋体"/>
          <w:szCs w:val="28"/>
          <w:lang w:eastAsia="zh-CN"/>
        </w:rPr>
        <w:t>国家“厕所革命”三年行动计划</w:t>
      </w:r>
      <w:r>
        <w:rPr>
          <w:rFonts w:hint="eastAsia" w:ascii="宋体" w:hAnsi="宋体" w:eastAsia="宋体" w:cs="宋体"/>
          <w:szCs w:val="28"/>
          <w:lang w:val="zh-CN"/>
        </w:rPr>
        <w:t>，</w:t>
      </w:r>
      <w:r>
        <w:rPr>
          <w:rFonts w:hint="eastAsia" w:ascii="宋体" w:hAnsi="宋体" w:cs="宋体"/>
          <w:szCs w:val="28"/>
          <w:lang w:val="zh-CN"/>
        </w:rPr>
        <w:t>实现厕所管理的科学化、智能化</w:t>
      </w:r>
      <w:r>
        <w:rPr>
          <w:rFonts w:hint="eastAsia" w:ascii="宋体" w:hAnsi="宋体" w:eastAsia="宋体" w:cs="宋体"/>
          <w:color w:val="000000"/>
          <w:lang w:val="zh-CN" w:bidi="zh-CN"/>
        </w:rPr>
        <w:t>，</w:t>
      </w:r>
      <w:r>
        <w:rPr>
          <w:rFonts w:hint="eastAsia" w:ascii="宋体" w:hAnsi="宋体" w:cs="宋体"/>
          <w:color w:val="000000"/>
          <w:lang w:val="zh-CN" w:bidi="zh-CN"/>
        </w:rPr>
        <w:t>解决传统公厕数量少、使用压力大以及管理水平低下等问题。</w:t>
      </w:r>
    </w:p>
    <w:p>
      <w:pPr>
        <w:spacing w:line="320" w:lineRule="exact"/>
        <w:ind w:firstLine="498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我司自主研发设计了一套“智慧公厕管理系统”，不仅可以实时监测公厕的使用情况、环境情况，同时可以监测公厕的人流情况。</w: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产品概述</w:t>
      </w:r>
    </w:p>
    <w:p>
      <w:pPr>
        <w:spacing w:line="320" w:lineRule="exact"/>
        <w:ind w:firstLine="498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我司使用高精度的传感器进行人流数量的统计，可以准确统计公厕的人流情况，并通过网络把监测的数据上传到“管理系统”，可以直观显示人流数量。而且传感器是基于机器人视觉技术，垂直向下的视角，通过内置高精准摄像头获取人的头颅以及双肩三点定位，判断人体目标行走方向，进而判断“进”或“出”的情况。</w: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产品优势</w:t>
      </w:r>
    </w:p>
    <w:p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功能方面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稳定、可靠、安全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覆盖范围广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灵敏度高、响应速度快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抗干扰能力强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不惧人与人相互遮挡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单设备双向统计，同时区分进出人群</w:t>
      </w:r>
    </w:p>
    <w:p>
      <w:pPr>
        <w:pStyle w:val="5"/>
        <w:bidi w:val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>网络方面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稳定、可靠、安全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只传输客流数据，占用宽带低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直接将统计结果传输到“管理系统”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</w:rPr>
        <w:t>产品参数</w:t>
      </w:r>
    </w:p>
    <w:tbl>
      <w:tblPr>
        <w:tblStyle w:val="37"/>
        <w:tblW w:w="6633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single" w:color="auto" w:sz="8" w:space="0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bottom w:val="single" w:color="auto" w:sz="8" w:space="0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auto" w:sz="8" w:space="0"/>
            </w:tcBorders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top w:val="single" w:color="auto" w:sz="8" w:space="0"/>
            </w:tcBorders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 DC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传输接口</w:t>
            </w:r>
          </w:p>
        </w:tc>
        <w:tc>
          <w:tcPr>
            <w:tcW w:w="4665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以太网口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/485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使用</w:t>
            </w: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温度</w:t>
            </w:r>
            <w:r>
              <w:rPr>
                <w:rFonts w:hint="eastAsia" w:ascii="宋体" w:hAnsi="宋体" w:cs="宋体"/>
                <w:b/>
                <w:bCs/>
                <w:color w:val="000000"/>
              </w:rPr>
              <w:t>环境</w:t>
            </w:r>
          </w:p>
        </w:tc>
        <w:tc>
          <w:tcPr>
            <w:tcW w:w="4665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-20至50℃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使用</w:t>
            </w: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湿度环境</w:t>
            </w:r>
          </w:p>
        </w:tc>
        <w:tc>
          <w:tcPr>
            <w:tcW w:w="4665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15%-95%（相对湿度）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以太网协议</w:t>
            </w:r>
          </w:p>
        </w:tc>
        <w:tc>
          <w:tcPr>
            <w:tcW w:w="4665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TCP/IP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485通讯协议</w:t>
            </w:r>
          </w:p>
        </w:tc>
        <w:tc>
          <w:tcPr>
            <w:tcW w:w="4665" w:type="dxa"/>
            <w:shd w:val="clear" w:color="auto" w:fill="CCCCCC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Modbus</w:t>
            </w:r>
          </w:p>
        </w:tc>
      </w:tr>
    </w:tbl>
    <w:p>
      <w:pPr>
        <w:pStyle w:val="2"/>
        <w:bidi w:val="0"/>
      </w:pPr>
      <w:r>
        <w:rPr>
          <w:rFonts w:hint="eastAsia"/>
          <w:lang w:eastAsia="zh-CN"/>
        </w:rPr>
        <w:t>设备安装</w:t>
      </w:r>
    </w:p>
    <w:p>
      <w:pPr>
        <w:pStyle w:val="3"/>
        <w:bidi w:val="0"/>
      </w:pPr>
      <w:bookmarkStart w:id="0" w:name="_Toc14785"/>
      <w:r>
        <w:rPr>
          <w:rFonts w:hint="eastAsia"/>
        </w:rPr>
        <w:t>设备安装前检查</w:t>
      </w:r>
      <w:bookmarkEnd w:id="0"/>
    </w:p>
    <w:p>
      <w:pPr>
        <w:spacing w:line="320" w:lineRule="exact"/>
        <w:ind w:firstLine="498" w:firstLineChars="200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Borders>
          <w:top w:val="single" w:color="000000" w:sz="8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人流传感器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顶装支架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壁装支架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自攻螺丝、螺丝螺母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各2个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合格证保修卡</w:t>
            </w:r>
          </w:p>
        </w:tc>
        <w:tc>
          <w:tcPr>
            <w:tcW w:w="1662" w:type="dxa"/>
            <w:tcBorders>
              <w:top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</w:tr>
    </w:tbl>
    <w:p>
      <w:pPr>
        <w:pStyle w:val="3"/>
        <w:bidi w:val="0"/>
      </w:pPr>
      <w:r>
        <w:rPr>
          <w:rFonts w:hint="eastAsia"/>
          <w:lang w:val="en-US" w:eastAsia="zh-CN"/>
        </w:rPr>
        <w:t>产品外观</w:t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下图是产品的尺寸和外观（黑白外壳随机发货），请根据外观尺寸进行安装。</w:t>
      </w: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pict>
          <v:shape id="_x0000_i1025" o:spt="75" alt="16183890027392357341826_33370564078_3870135063_33368849796_白的" type="#_x0000_t75" style="height:159.5pt;width:303.75pt;" filled="f" o:preferrelative="t" stroked="f" coordsize="21600,21600">
            <v:path/>
            <v:fill on="f" focussize="0,0"/>
            <v:stroke on="f"/>
            <v:imagedata r:id="rId11" cropleft="1868f" croptop="50898f" cropright="5461f" cropbottom="10465f" o:title="16183890027392357341826_33370564078_3870135063_33368849796_白的"/>
            <o:lock v:ext="edit" aspectratio="t"/>
            <w10:wrap type="none"/>
            <w10:anchorlock/>
          </v:shape>
        </w:pic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接口说明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320" w:lineRule="exact"/>
        <w:ind w:firstLine="498" w:firstLineChars="200"/>
        <w:textAlignment w:val="auto"/>
        <w:rPr>
          <w:rFonts w:hint="eastAsia"/>
        </w:rPr>
      </w:pPr>
      <w:r>
        <w:t>电源接口为</w:t>
      </w:r>
      <w:r>
        <w:rPr>
          <w:rFonts w:hint="eastAsia"/>
          <w:lang w:val="en-US" w:eastAsia="zh-CN"/>
        </w:rPr>
        <w:t>直流</w:t>
      </w:r>
      <w:r>
        <w:t>电源输</w:t>
      </w:r>
      <w:r>
        <w:rPr>
          <w:rFonts w:hint="eastAsia"/>
          <w:lang w:val="en-US" w:eastAsia="zh-CN"/>
        </w:rPr>
        <w:t>入</w:t>
      </w:r>
      <w:r>
        <w:t>12V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网口为</w:t>
      </w:r>
      <w:r>
        <w:rPr>
          <w:rFonts w:hint="eastAsia" w:ascii="Calibri" w:hAnsi="Calibri"/>
        </w:rPr>
        <w:t>RJ45接口</w:t>
      </w:r>
      <w:r>
        <w:t>。485信号线接线时注意A</w:t>
      </w:r>
      <w:r>
        <w:rPr>
          <w:rFonts w:hint="eastAsia"/>
        </w:rPr>
        <w:t>/</w:t>
      </w:r>
      <w:r>
        <w:t>B两条线不能接反，总线上多台设备间地址不能冲突。</w:t>
      </w:r>
      <w:r>
        <w:rPr>
          <w:rFonts w:hint="eastAsia"/>
        </w:rPr>
        <w:t>线序说明如下表所示：</w:t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133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/>
        </w:tc>
        <w:tc>
          <w:tcPr>
            <w:tcW w:w="1133" w:type="dxa"/>
            <w:noWrap w:val="0"/>
            <w:vAlign w:val="top"/>
          </w:tcPr>
          <w:p>
            <w:r>
              <w:t>线色</w:t>
            </w:r>
          </w:p>
        </w:tc>
        <w:tc>
          <w:tcPr>
            <w:tcW w:w="2565" w:type="dxa"/>
            <w:noWrap w:val="0"/>
            <w:vAlign w:val="top"/>
          </w:tcPr>
          <w:p>
            <w: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r>
              <w:rPr>
                <w:rFonts w:hint="eastAsia"/>
                <w:lang w:val="en-US" w:eastAsia="zh-CN"/>
              </w:rPr>
              <w:t>485</w:t>
            </w:r>
            <w:r>
              <w:t>通信</w:t>
            </w:r>
          </w:p>
        </w:tc>
        <w:tc>
          <w:tcPr>
            <w:tcW w:w="1133" w:type="dxa"/>
            <w:noWrap w:val="0"/>
            <w:vAlign w:val="top"/>
          </w:tcPr>
          <w:p>
            <w:r>
              <w:rPr>
                <w:rFonts w:hAnsi="宋体"/>
                <w:szCs w:val="24"/>
              </w:rPr>
              <w:t>黄</w:t>
            </w:r>
            <w:r>
              <w:rPr>
                <w:rFonts w:hint="eastAsia" w:hAnsi="宋体"/>
                <w:szCs w:val="24"/>
              </w:rPr>
              <w:t>(灰)</w:t>
            </w:r>
            <w:r>
              <w:rPr>
                <w:rFonts w:hAnsi="宋体"/>
                <w:szCs w:val="24"/>
              </w:rPr>
              <w:t>色</w:t>
            </w:r>
          </w:p>
        </w:tc>
        <w:tc>
          <w:tcPr>
            <w:tcW w:w="2565" w:type="dxa"/>
            <w:noWrap w:val="0"/>
            <w:vAlign w:val="top"/>
          </w:tcPr>
          <w:p>
            <w: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/>
        </w:tc>
        <w:tc>
          <w:tcPr>
            <w:tcW w:w="1133" w:type="dxa"/>
            <w:noWrap w:val="0"/>
            <w:vAlign w:val="top"/>
          </w:tcPr>
          <w:p>
            <w:r>
              <w:t>蓝色</w:t>
            </w:r>
          </w:p>
        </w:tc>
        <w:tc>
          <w:tcPr>
            <w:tcW w:w="2565" w:type="dxa"/>
            <w:noWrap w:val="0"/>
            <w:vAlign w:val="top"/>
          </w:tcPr>
          <w:p>
            <w:r>
              <w:t>485-B</w:t>
            </w:r>
          </w:p>
        </w:tc>
      </w:tr>
    </w:tbl>
    <w:p>
      <w:pPr>
        <w:bidi w:val="0"/>
        <w:jc w:val="center"/>
      </w:pPr>
      <w:r>
        <w:rPr>
          <w:rFonts w:hint="eastAsia"/>
          <w:lang w:eastAsia="zh-CN"/>
        </w:rPr>
        <w:pict>
          <v:shape id="_x0000_i1026" o:spt="75" alt="4674378682_34018005000_插孔" type="#_x0000_t75" style="height:169.7pt;width:201.05pt;" filled="f" o:preferrelative="t" stroked="f" coordsize="21600,21600">
            <v:path/>
            <v:fill on="f" focussize="0,0"/>
            <v:stroke on="f"/>
            <v:imagedata r:id="rId12" cropleft="18194f" croptop="17299f" cropright="16736f" cropbottom="11435f" o:title="4674378682_34018005000_插孔"/>
            <o:lock v:ext="edit" aspectratio="t"/>
            <w10:wrap type="none"/>
            <w10:anchorlock/>
          </v:shape>
        </w:pict>
      </w:r>
    </w:p>
    <w:p>
      <w:pPr>
        <w:pStyle w:val="3"/>
        <w:bidi w:val="0"/>
      </w:pPr>
      <w:r>
        <w:rPr>
          <w:rFonts w:hint="eastAsia"/>
          <w:lang w:eastAsia="zh-CN"/>
        </w:rPr>
        <w:t>安装说明</w:t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eastAsia="zh-CN"/>
        </w:rPr>
        <w:t>吸顶安装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使用自攻螺丝通过顶装支架将传感器固定在天花板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安装在天花板上时，传感器距离入口小于</w:t>
      </w:r>
      <w:r>
        <w:rPr>
          <w:rFonts w:hint="eastAsia"/>
          <w:lang w:val="en-US" w:eastAsia="zh-CN"/>
        </w:rPr>
        <w:t>0.5米，高度5米，监测的宽度范围是3米</w:t>
      </w:r>
    </w:p>
    <w:p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侧向安装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使用自攻螺丝将壁装支架固定在墙上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使用短的自攻螺丝将传感器通过顶装支架固定在壁装支架上</w:t>
      </w:r>
    </w:p>
    <w:p>
      <w:pPr>
        <w:pStyle w:val="4"/>
        <w:numPr>
          <w:ilvl w:val="0"/>
          <w:numId w:val="0"/>
        </w:numPr>
        <w:spacing w:line="320" w:lineRule="exact"/>
        <w:ind w:left="498" w:leftChars="0"/>
        <w:rPr>
          <w:rFonts w:hint="eastAsia"/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注：安装时，必须按设备别面标示的客流进出方向安装。</w:t>
      </w:r>
    </w:p>
    <w:p>
      <w:pPr>
        <w:pStyle w:val="2"/>
        <w:bidi w:val="0"/>
      </w:pPr>
      <w:bookmarkStart w:id="1" w:name="_Toc27562"/>
      <w:r>
        <w:rPr>
          <w:rFonts w:hint="eastAsia"/>
          <w:lang w:val="en-US" w:eastAsia="zh-CN"/>
        </w:rPr>
        <w:t>485通讯</w:t>
      </w:r>
      <w:r>
        <w:t>协议</w:t>
      </w:r>
      <w:bookmarkEnd w:id="1"/>
    </w:p>
    <w:p>
      <w:pPr>
        <w:pStyle w:val="3"/>
        <w:bidi w:val="0"/>
        <w:rPr>
          <w:rFonts w:hint="eastAsia"/>
        </w:rPr>
      </w:pPr>
      <w:bookmarkStart w:id="2" w:name="_Toc9183"/>
      <w:r>
        <w:rPr>
          <w:rFonts w:hint="eastAsia"/>
        </w:rPr>
        <w:t>通讯基本参数</w:t>
      </w:r>
      <w:bookmarkEnd w:id="2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0"/>
        <w:gridCol w:w="226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226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226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2264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226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2264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226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2264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9600 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226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bidi w:val="0"/>
      </w:pPr>
      <w:bookmarkStart w:id="3" w:name="_Toc12903"/>
      <w:r>
        <w:rPr>
          <w:rFonts w:hint="eastAsia"/>
        </w:rPr>
        <w:t>数据帧格式定义</w:t>
      </w:r>
      <w:bookmarkEnd w:id="3"/>
    </w:p>
    <w:p>
      <w:pPr>
        <w:pStyle w:val="4"/>
        <w:rPr>
          <w:rFonts w:hint="eastAsia"/>
        </w:rPr>
      </w:pPr>
      <w:r>
        <w:rPr>
          <w:rFonts w:hint="eastAsia"/>
        </w:rPr>
        <w:t>采用 Modbus-RTU 通讯规约，格式如下：</w:t>
      </w:r>
    </w:p>
    <w:p>
      <w:pPr>
        <w:pStyle w:val="4"/>
        <w:rPr>
          <w:rFonts w:hint="eastAsia"/>
        </w:rPr>
      </w:pPr>
      <w:r>
        <w:rPr>
          <w:rFonts w:hint="eastAsia"/>
        </w:rPr>
        <w:t>初始结构≥4字节的时间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地址码= 1字节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功能码= 1字节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rPr>
          <w:rFonts w:hint="eastAsia"/>
        </w:rPr>
      </w:pPr>
      <w:r>
        <w:rPr>
          <w:rFonts w:hint="eastAsia"/>
        </w:rPr>
        <w:t>结束结构≥4字节的时间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地址码：为变送器的功能指示，本变送器只用到功能码 0x03（读取寄存器数据）。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数据区：数据区是具体地址，在通讯网络中是唯一的（出厂默认 0x01）。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功能码：主机所发指令通讯数据，注意 16bits 数据高字节在前！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CRC 码：二字节的校验码。</w:t>
      </w:r>
    </w:p>
    <w:p>
      <w:pPr>
        <w:ind w:firstLine="487" w:firstLineChars="196"/>
      </w:pPr>
      <w:bookmarkStart w:id="4" w:name="_Toc15692"/>
      <w:r>
        <w:t>问询帧</w:t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3"/>
        <w:gridCol w:w="863"/>
        <w:gridCol w:w="1351"/>
        <w:gridCol w:w="1012"/>
        <w:gridCol w:w="1281"/>
        <w:gridCol w:w="1337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3" w:type="dxa"/>
            <w:noWrap w:val="0"/>
            <w:vAlign w:val="top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863" w:type="dxa"/>
            <w:noWrap w:val="0"/>
            <w:vAlign w:val="top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351" w:type="dxa"/>
            <w:noWrap w:val="0"/>
            <w:vAlign w:val="top"/>
          </w:tcPr>
          <w:p>
            <w:pPr>
              <w:jc w:val="center"/>
            </w:pPr>
            <w:r>
              <w:t>寄存器起始地址</w:t>
            </w:r>
          </w:p>
        </w:tc>
        <w:tc>
          <w:tcPr>
            <w:tcW w:w="1012" w:type="dxa"/>
            <w:noWrap w:val="0"/>
            <w:vAlign w:val="top"/>
          </w:tcPr>
          <w:p>
            <w:pPr>
              <w:jc w:val="center"/>
            </w:pPr>
            <w:r>
              <w:rPr>
                <w:spacing w:val="-1"/>
              </w:rPr>
              <w:t>寄存器长度</w:t>
            </w:r>
          </w:p>
        </w:tc>
        <w:tc>
          <w:tcPr>
            <w:tcW w:w="1281" w:type="dxa"/>
            <w:noWrap w:val="0"/>
            <w:vAlign w:val="top"/>
          </w:tcPr>
          <w:p>
            <w:pPr>
              <w:jc w:val="center"/>
            </w:pPr>
            <w:r>
              <w:rPr>
                <w:spacing w:val="-1"/>
              </w:rPr>
              <w:t>校验码低位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jc w:val="center"/>
            </w:pPr>
            <w:r>
              <w:rPr>
                <w:spacing w:val="-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3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863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1351" w:type="dxa"/>
            <w:noWrap w:val="0"/>
            <w:vAlign w:val="top"/>
          </w:tcPr>
          <w:p>
            <w:r>
              <w:rPr>
                <w:rFonts w:eastAsia="Times New Roman"/>
              </w:rPr>
              <w:t>2</w:t>
            </w:r>
            <w:r>
              <w:t>字节</w:t>
            </w:r>
          </w:p>
        </w:tc>
        <w:tc>
          <w:tcPr>
            <w:tcW w:w="1012" w:type="dxa"/>
            <w:noWrap w:val="0"/>
            <w:vAlign w:val="top"/>
          </w:tcPr>
          <w:p>
            <w:r>
              <w:rPr>
                <w:rFonts w:eastAsia="Times New Roman"/>
              </w:rPr>
              <w:t>2</w:t>
            </w:r>
            <w:r>
              <w:t>字节</w:t>
            </w:r>
          </w:p>
        </w:tc>
        <w:tc>
          <w:tcPr>
            <w:tcW w:w="1281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1337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</w:tr>
    </w:tbl>
    <w:p>
      <w:pPr>
        <w:pStyle w:val="16"/>
        <w:spacing w:after="0" w:line="320" w:lineRule="exact"/>
        <w:ind w:firstLine="479" w:firstLineChars="196"/>
        <w:rPr>
          <w:spacing w:val="-2"/>
        </w:rPr>
      </w:pPr>
      <w:r>
        <w:rPr>
          <w:spacing w:val="-2"/>
        </w:rPr>
        <w:t>应答帧</w:t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3"/>
        <w:gridCol w:w="750"/>
        <w:gridCol w:w="1139"/>
        <w:gridCol w:w="948"/>
        <w:gridCol w:w="1080"/>
        <w:gridCol w:w="1140"/>
        <w:gridCol w:w="857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7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139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9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  <w:tc>
          <w:tcPr>
            <w:tcW w:w="857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53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75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113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94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85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寄存器地址</w:t>
      </w:r>
      <w:bookmarkEnd w:id="4"/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3261"/>
        <w:gridCol w:w="113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H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进人数</w:t>
            </w:r>
            <w:r>
              <w:rPr>
                <w:rFonts w:hint="eastAsia"/>
              </w:rPr>
              <w:t>(单位</w:t>
            </w:r>
            <w:r>
              <w:rPr>
                <w:rFonts w:hint="eastAsia"/>
                <w:lang w:val="en-US" w:eastAsia="zh-CN"/>
              </w:rPr>
              <w:t>1人</w:t>
            </w:r>
            <w:r>
              <w:rPr>
                <w:rFonts w:hint="eastAsia"/>
              </w:rPr>
              <w:t>)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出人数</w:t>
            </w:r>
            <w:r>
              <w:rPr>
                <w:rFonts w:hint="eastAsia"/>
              </w:rPr>
              <w:t>(单位</w:t>
            </w:r>
            <w:r>
              <w:rPr>
                <w:rFonts w:hint="eastAsia"/>
                <w:lang w:val="en-US" w:eastAsia="zh-CN"/>
              </w:rPr>
              <w:t>1人</w:t>
            </w:r>
            <w:r>
              <w:rPr>
                <w:rFonts w:hint="eastAsia"/>
              </w:rPr>
              <w:t>)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</w:tbl>
    <w:p>
      <w:pPr>
        <w:pStyle w:val="3"/>
        <w:bidi w:val="0"/>
        <w:rPr>
          <w:rFonts w:hint="eastAsia"/>
        </w:rPr>
      </w:pPr>
      <w:bookmarkStart w:id="5" w:name="_Toc9556"/>
      <w:r>
        <w:rPr>
          <w:rFonts w:hint="eastAsia"/>
        </w:rPr>
        <w:t>通讯协议示例以及解释</w:t>
      </w:r>
      <w:bookmarkEnd w:id="5"/>
    </w:p>
    <w:p>
      <w:pPr>
        <w:pStyle w:val="5"/>
        <w:bidi w:val="0"/>
        <w:rPr>
          <w:rFonts w:hint="eastAsia"/>
        </w:rPr>
      </w:pPr>
      <w:bookmarkStart w:id="6" w:name="_Toc3715"/>
      <w:r>
        <w:rPr>
          <w:rFonts w:hint="eastAsia"/>
        </w:rPr>
        <w:t>读取设备地址 0x01 的</w:t>
      </w:r>
      <w:r>
        <w:rPr>
          <w:rFonts w:hint="eastAsia"/>
          <w:lang w:val="en-US" w:eastAsia="zh-CN"/>
        </w:rPr>
        <w:t>进、出人数</w:t>
      </w:r>
      <w:r>
        <w:rPr>
          <w:rFonts w:hint="eastAsia"/>
        </w:rPr>
        <w:t>值</w:t>
      </w:r>
      <w:bookmarkEnd w:id="6"/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95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</w:t>
            </w:r>
            <w:r>
              <w:rPr>
                <w:rFonts w:hint="eastAsia"/>
              </w:rPr>
              <w:t>B</w:t>
            </w:r>
          </w:p>
        </w:tc>
      </w:tr>
    </w:tbl>
    <w:p>
      <w:pPr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应答帧（例如读到</w:t>
      </w:r>
      <w:r>
        <w:rPr>
          <w:rFonts w:hint="eastAsia"/>
          <w:lang w:val="en-US" w:eastAsia="zh-CN"/>
        </w:rPr>
        <w:t>进人数</w:t>
      </w:r>
      <w:r>
        <w:rPr>
          <w:rFonts w:hint="eastAsia"/>
        </w:rPr>
        <w:t>为</w:t>
      </w:r>
      <w:r>
        <w:rPr>
          <w:rFonts w:hint="eastAsia"/>
          <w:lang w:val="en-US" w:eastAsia="zh-CN"/>
        </w:rPr>
        <w:t>5人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出人数为4人</w:t>
      </w:r>
      <w:r>
        <w:rPr>
          <w:rFonts w:hint="eastAsia"/>
        </w:rPr>
        <w:t>）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832"/>
        <w:gridCol w:w="1054"/>
        <w:gridCol w:w="856"/>
        <w:gridCol w:w="878"/>
        <w:gridCol w:w="1199"/>
        <w:gridCol w:w="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32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有效字数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进人数</w:t>
            </w:r>
            <w:r>
              <w:rPr>
                <w:rFonts w:hint="eastAsia"/>
              </w:rPr>
              <w:t>值</w:t>
            </w:r>
          </w:p>
        </w:tc>
        <w:tc>
          <w:tcPr>
            <w:tcW w:w="87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出人数</w:t>
            </w:r>
            <w:r>
              <w:rPr>
                <w:rFonts w:hint="eastAsia"/>
              </w:rPr>
              <w:t>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6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0x04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 xml:space="preserve"> 0x</w:t>
            </w:r>
            <w:r>
              <w:rPr>
                <w:rFonts w:hint="eastAsia"/>
                <w:lang w:val="en-US" w:eastAsia="zh-CN"/>
              </w:rPr>
              <w:t>05</w:t>
            </w:r>
          </w:p>
        </w:tc>
        <w:tc>
          <w:tcPr>
            <w:tcW w:w="878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00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04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EB</w:t>
            </w:r>
          </w:p>
        </w:tc>
        <w:tc>
          <w:tcPr>
            <w:tcW w:w="967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F1</w:t>
            </w:r>
          </w:p>
        </w:tc>
      </w:tr>
    </w:tbl>
    <w:p>
      <w:pPr>
        <w:pStyle w:val="4"/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进人数</w:t>
      </w:r>
      <w:r>
        <w:rPr>
          <w:rFonts w:hint="eastAsia"/>
        </w:rPr>
        <w:t>：</w:t>
      </w:r>
    </w:p>
    <w:p>
      <w:pPr>
        <w:pStyle w:val="4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0004</w:t>
      </w:r>
      <w:r>
        <w:rPr>
          <w:rFonts w:hint="eastAsia"/>
        </w:rPr>
        <w:t xml:space="preserve"> H(十六进制)=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=&gt;</w:t>
      </w:r>
      <w:r>
        <w:rPr>
          <w:rFonts w:hint="eastAsia"/>
          <w:lang w:val="en-US" w:eastAsia="zh-CN"/>
        </w:rPr>
        <w:t>进人数</w:t>
      </w:r>
      <w:r>
        <w:rPr>
          <w:rFonts w:hint="eastAsia"/>
        </w:rPr>
        <w:t>=</w:t>
      </w:r>
      <w:r>
        <w:rPr>
          <w:rFonts w:hint="eastAsia"/>
          <w:lang w:val="en-US" w:eastAsia="zh-CN"/>
        </w:rPr>
        <w:t>5人</w:t>
      </w:r>
    </w:p>
    <w:p>
      <w:p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出人数</w:t>
      </w:r>
      <w:r>
        <w:rPr>
          <w:rFonts w:hint="eastAsia"/>
        </w:rPr>
        <w:t>：</w:t>
      </w:r>
    </w:p>
    <w:p>
      <w:pPr>
        <w:pStyle w:val="4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0005</w:t>
      </w:r>
      <w:r>
        <w:rPr>
          <w:rFonts w:hint="eastAsia"/>
        </w:rPr>
        <w:t xml:space="preserve"> H(十六进制)=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=&gt;</w:t>
      </w:r>
      <w:r>
        <w:rPr>
          <w:rFonts w:hint="eastAsia"/>
          <w:lang w:val="en-US" w:eastAsia="zh-CN"/>
        </w:rPr>
        <w:t>出人数</w:t>
      </w:r>
      <w:r>
        <w:rPr>
          <w:rFonts w:hint="eastAsia"/>
        </w:rPr>
        <w:t>=</w:t>
      </w:r>
      <w:r>
        <w:rPr>
          <w:rFonts w:hint="eastAsia"/>
          <w:lang w:val="en-US" w:eastAsia="zh-CN"/>
        </w:rPr>
        <w:t>4人</w:t>
      </w:r>
    </w:p>
    <w:p>
      <w:pPr>
        <w:pStyle w:val="4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传感器连接精讯云</w: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bidi w:val="0"/>
        <w:rPr>
          <w:rFonts w:hint="eastAsia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传感器</w:t>
      </w:r>
      <w:r>
        <w:rPr>
          <w:rFonts w:hint="eastAsia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以太网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ind w:left="0" w:leftChars="0" w:firstLine="0" w:firstLineChars="0"/>
        <w:rPr>
          <w:rFonts w:hint="default"/>
          <w:lang w:val="en-US" w:eastAsia="zh-CN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ocumentProtection w:enforcement="0"/>
  <w:defaultTabStop w:val="578"/>
  <w:evenAndOddHeaders w:val="1"/>
  <w:drawingGridHorizontalSpacing w:val="249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E5B81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5FAE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3150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5CE279E"/>
    <w:rsid w:val="069A7E66"/>
    <w:rsid w:val="06E51CD6"/>
    <w:rsid w:val="06E611BA"/>
    <w:rsid w:val="07E936F3"/>
    <w:rsid w:val="082242A7"/>
    <w:rsid w:val="08A3174A"/>
    <w:rsid w:val="0902725D"/>
    <w:rsid w:val="091A145E"/>
    <w:rsid w:val="0B14036D"/>
    <w:rsid w:val="0B361D0E"/>
    <w:rsid w:val="0B7F2C24"/>
    <w:rsid w:val="0CF82A2F"/>
    <w:rsid w:val="0E4D1E60"/>
    <w:rsid w:val="0EBC5753"/>
    <w:rsid w:val="10356766"/>
    <w:rsid w:val="116239FA"/>
    <w:rsid w:val="11681B60"/>
    <w:rsid w:val="117068F3"/>
    <w:rsid w:val="118F7405"/>
    <w:rsid w:val="121A0755"/>
    <w:rsid w:val="12836925"/>
    <w:rsid w:val="12D72619"/>
    <w:rsid w:val="14066C32"/>
    <w:rsid w:val="17EC011B"/>
    <w:rsid w:val="18212E65"/>
    <w:rsid w:val="1971336A"/>
    <w:rsid w:val="1C1116EE"/>
    <w:rsid w:val="1D6347C3"/>
    <w:rsid w:val="1D7F715E"/>
    <w:rsid w:val="1D8970F1"/>
    <w:rsid w:val="1DA339E3"/>
    <w:rsid w:val="1EA3206A"/>
    <w:rsid w:val="1EB40255"/>
    <w:rsid w:val="1EFF23D6"/>
    <w:rsid w:val="20554466"/>
    <w:rsid w:val="239F5D9E"/>
    <w:rsid w:val="25BD472E"/>
    <w:rsid w:val="25F413E1"/>
    <w:rsid w:val="262027F4"/>
    <w:rsid w:val="263642AD"/>
    <w:rsid w:val="2651772E"/>
    <w:rsid w:val="265A3D54"/>
    <w:rsid w:val="27A41F30"/>
    <w:rsid w:val="28021797"/>
    <w:rsid w:val="28612664"/>
    <w:rsid w:val="28B50096"/>
    <w:rsid w:val="29460CCA"/>
    <w:rsid w:val="2D867089"/>
    <w:rsid w:val="2FC46D81"/>
    <w:rsid w:val="30E8148B"/>
    <w:rsid w:val="318D5DF1"/>
    <w:rsid w:val="32C65650"/>
    <w:rsid w:val="33324090"/>
    <w:rsid w:val="34234E8F"/>
    <w:rsid w:val="342733E7"/>
    <w:rsid w:val="344A643C"/>
    <w:rsid w:val="35CB29CD"/>
    <w:rsid w:val="35E64752"/>
    <w:rsid w:val="369C796D"/>
    <w:rsid w:val="38F05A0B"/>
    <w:rsid w:val="39B26BD2"/>
    <w:rsid w:val="3A2B1F14"/>
    <w:rsid w:val="3ACB0138"/>
    <w:rsid w:val="3D161383"/>
    <w:rsid w:val="40B74FAC"/>
    <w:rsid w:val="411C4CEB"/>
    <w:rsid w:val="41422402"/>
    <w:rsid w:val="41ED62DB"/>
    <w:rsid w:val="44757BF1"/>
    <w:rsid w:val="458B3A0D"/>
    <w:rsid w:val="46D01AD5"/>
    <w:rsid w:val="47BB6C9D"/>
    <w:rsid w:val="499D2E86"/>
    <w:rsid w:val="49D66B8A"/>
    <w:rsid w:val="4A255546"/>
    <w:rsid w:val="4A7D6646"/>
    <w:rsid w:val="4ABE11AE"/>
    <w:rsid w:val="4BB560A9"/>
    <w:rsid w:val="4BCE2554"/>
    <w:rsid w:val="4DDA53AB"/>
    <w:rsid w:val="4E1A6FE5"/>
    <w:rsid w:val="4EAF5BC3"/>
    <w:rsid w:val="4FDA2B38"/>
    <w:rsid w:val="500C0F68"/>
    <w:rsid w:val="51922FD0"/>
    <w:rsid w:val="51DB5943"/>
    <w:rsid w:val="52A55BB1"/>
    <w:rsid w:val="52AC6293"/>
    <w:rsid w:val="52DA408B"/>
    <w:rsid w:val="535876F3"/>
    <w:rsid w:val="539863D2"/>
    <w:rsid w:val="541B555F"/>
    <w:rsid w:val="55447BE3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5F2D030A"/>
    <w:rsid w:val="608012C0"/>
    <w:rsid w:val="613778AE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1424C78"/>
    <w:rsid w:val="734847B4"/>
    <w:rsid w:val="734F4FF2"/>
    <w:rsid w:val="753077CF"/>
    <w:rsid w:val="75476BF0"/>
    <w:rsid w:val="754A21C3"/>
    <w:rsid w:val="75DD46A0"/>
    <w:rsid w:val="768222BC"/>
    <w:rsid w:val="76E465CB"/>
    <w:rsid w:val="78F7787A"/>
    <w:rsid w:val="791D700C"/>
    <w:rsid w:val="7AB90636"/>
    <w:rsid w:val="7B453D95"/>
    <w:rsid w:val="7CD4485E"/>
    <w:rsid w:val="7D7F1A01"/>
    <w:rsid w:val="7DFC4533"/>
    <w:rsid w:val="7E38797C"/>
    <w:rsid w:val="7EA839B9"/>
    <w:rsid w:val="7F9E77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431" w:hanging="431"/>
      <w:jc w:val="left"/>
      <w:outlineLvl w:val="0"/>
    </w:pPr>
    <w:rPr>
      <w:rFonts w:ascii="Times New Roman" w:hAnsi="Times New Roman"/>
      <w:sz w:val="36"/>
    </w:rPr>
  </w:style>
  <w:style w:type="paragraph" w:styleId="3">
    <w:name w:val="heading 2"/>
    <w:basedOn w:val="1"/>
    <w:next w:val="1"/>
    <w:link w:val="52"/>
    <w:qFormat/>
    <w:uiPriority w:val="0"/>
    <w:pPr>
      <w:keepNext/>
      <w:keepLines/>
      <w:numPr>
        <w:ilvl w:val="1"/>
        <w:numId w:val="1"/>
      </w:numPr>
      <w:ind w:left="578" w:hanging="578"/>
      <w:outlineLvl w:val="1"/>
    </w:pPr>
    <w:rPr>
      <w:rFonts w:ascii="Times New Roman" w:hAnsi="Times New Roman"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outlineLvl w:val="2"/>
    </w:pPr>
    <w:rPr>
      <w:rFonts w:ascii="Times New Roman" w:hAnsi="Times New Roman"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5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2">
    <w:name w:val="标题 2 Char"/>
    <w:link w:val="3"/>
    <w:qFormat/>
    <w:uiPriority w:val="0"/>
    <w:rPr>
      <w:rFonts w:ascii="Times New Roman" w:hAnsi="Times New Roman" w:eastAsia="黑体"/>
      <w:kern w:val="2"/>
      <w:sz w:val="30"/>
    </w:rPr>
  </w:style>
  <w:style w:type="paragraph" w:customStyle="1" w:styleId="53">
    <w:name w:val="图题"/>
    <w:basedOn w:val="1"/>
    <w:qFormat/>
    <w:uiPriority w:val="0"/>
    <w:pPr>
      <w:adjustRightInd w:val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4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5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7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8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9">
    <w:name w:val="_Style 57"/>
    <w:basedOn w:val="2"/>
    <w:next w:val="1"/>
    <w:qFormat/>
    <w:uiPriority w:val="39"/>
    <w:pPr>
      <w:keepNext/>
      <w:pageBreakBefore w:val="0"/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60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1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2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3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4">
    <w:name w:val="Char Char Char Char"/>
    <w:basedOn w:val="1"/>
    <w:qFormat/>
    <w:uiPriority w:val="0"/>
    <w:rPr>
      <w:rFonts w:ascii="Tahoma" w:hAnsi="Tahoma"/>
    </w:rPr>
  </w:style>
  <w:style w:type="paragraph" w:customStyle="1" w:styleId="6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6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7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8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69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70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2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3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5">
    <w:name w:val="章标题(不加入目录内)"/>
    <w:basedOn w:val="35"/>
    <w:qFormat/>
    <w:uiPriority w:val="0"/>
    <w:pPr>
      <w:outlineLvl w:val="9"/>
    </w:pPr>
  </w:style>
  <w:style w:type="paragraph" w:customStyle="1" w:styleId="76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7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8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9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1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3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4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5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6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7">
    <w:name w:val="Table Paragraph"/>
    <w:basedOn w:val="1"/>
    <w:qFormat/>
    <w:uiPriority w:val="1"/>
  </w:style>
  <w:style w:type="paragraph" w:customStyle="1" w:styleId="88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1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2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3">
    <w:name w:val="附表二级标题"/>
    <w:basedOn w:val="3"/>
    <w:link w:val="117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4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5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6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7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8">
    <w:name w:val="提示"/>
    <w:basedOn w:val="1"/>
    <w:link w:val="102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9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1">
    <w:name w:val="videolength"/>
    <w:basedOn w:val="44"/>
    <w:qFormat/>
    <w:uiPriority w:val="0"/>
  </w:style>
  <w:style w:type="character" w:customStyle="1" w:styleId="102">
    <w:name w:val="提示 Char"/>
    <w:link w:val="98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3">
    <w:name w:val="bf"/>
    <w:basedOn w:val="44"/>
    <w:qFormat/>
    <w:uiPriority w:val="0"/>
  </w:style>
  <w:style w:type="character" w:customStyle="1" w:styleId="104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5">
    <w:name w:val="副标题 Char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6">
    <w:name w:val="正文文本 Char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Char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Char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Char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Char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Char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3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首行缩进 Char"/>
    <w:link w:val="4"/>
    <w:qFormat/>
    <w:uiPriority w:val="0"/>
    <w:rPr>
      <w:kern w:val="2"/>
      <w:sz w:val="24"/>
    </w:rPr>
  </w:style>
  <w:style w:type="character" w:customStyle="1" w:styleId="119">
    <w:name w:val="标题 5 Char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Char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Char"/>
    <w:link w:val="15"/>
    <w:semiHidden/>
    <w:qFormat/>
    <w:uiPriority w:val="99"/>
    <w:rPr>
      <w:kern w:val="2"/>
      <w:sz w:val="24"/>
    </w:rPr>
  </w:style>
  <w:style w:type="character" w:customStyle="1" w:styleId="125">
    <w:name w:val="页脚 Char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Char"/>
    <w:link w:val="17"/>
    <w:qFormat/>
    <w:uiPriority w:val="0"/>
    <w:rPr>
      <w:kern w:val="2"/>
      <w:sz w:val="24"/>
    </w:rPr>
  </w:style>
  <w:style w:type="character" w:customStyle="1" w:styleId="129">
    <w:name w:val="页眉 Char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cPr>
        <w:shd w:val="clear" w:color="auto" w:fill="FFFFFF"/>
      </w:tcPr>
    </w:tblStylePr>
    <w:tblStylePr w:type="swCell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5</Pages>
  <Words>494</Words>
  <Characters>208</Characters>
  <Lines>1</Lines>
  <Paragraphs>1</Paragraphs>
  <TotalTime>0</TotalTime>
  <ScaleCrop>false</ScaleCrop>
  <LinksUpToDate>false</LinksUpToDate>
  <CharactersWithSpaces>701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X、dw</cp:lastModifiedBy>
  <cp:lastPrinted>2017-08-24T03:52:00Z</cp:lastPrinted>
  <dcterms:modified xsi:type="dcterms:W3CDTF">2021-04-30T05:36:12Z</dcterms:modified>
  <dc:title>哈尔滨工业大学硕士毕业论文模板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2052-11.1.0.9564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