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ascii="黑体" w:hAnsi="黑体" w:eastAsia="黑体" w:cs="黑体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-122555</wp:posOffset>
            </wp:positionH>
            <wp:positionV relativeFrom="page">
              <wp:posOffset>-15240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  <w:r>
        <w:rPr>
          <w:rFonts w:hint="eastAsia" w:ascii="黑体" w:hAnsi="黑体" w:eastAsia="黑体" w:cs="黑体"/>
          <w:b/>
          <w:sz w:val="72"/>
          <w:szCs w:val="72"/>
        </w:rPr>
        <w:t>智能气体模组传感器使用说明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</w:t>
      </w:r>
      <w:r>
        <w:rPr>
          <w:rFonts w:hint="eastAsia" w:ascii="黑体" w:hAnsi="黑体" w:eastAsia="黑体" w:cs="黑体"/>
          <w:b/>
          <w:sz w:val="72"/>
          <w:szCs w:val="72"/>
        </w:rPr>
        <w:t>JXM-</w:t>
      </w:r>
      <w:r>
        <w:rPr>
          <w:rFonts w:hint="eastAsia" w:ascii="黑体" w:hAnsi="黑体" w:eastAsia="黑体" w:cs="黑体"/>
          <w:color w:val="000000"/>
          <w:kern w:val="2"/>
          <w:sz w:val="72"/>
          <w:szCs w:val="72"/>
          <w:lang w:val="en-US" w:eastAsia="zh-CN" w:bidi="ar"/>
        </w:rPr>
        <w:t>O</w:t>
      </w:r>
      <w:r>
        <w:rPr>
          <w:rFonts w:hint="eastAsia" w:ascii="黑体" w:hAnsi="黑体" w:eastAsia="黑体" w:cs="黑体"/>
          <w:color w:val="000000"/>
          <w:kern w:val="2"/>
          <w:sz w:val="72"/>
          <w:szCs w:val="72"/>
          <w:vertAlign w:val="subscript"/>
          <w:lang w:val="en-US" w:eastAsia="zh-CN" w:bidi="ar"/>
        </w:rPr>
        <w:t>2</w:t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sz w:val="72"/>
          <w:szCs w:val="72"/>
          <w:lang w:val="en-US" w:eastAsia="zh-CN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</w:t>
      </w:r>
      <w:r>
        <w:rPr>
          <w:rFonts w:hint="eastAsia" w:ascii="黑体" w:hAnsi="黑体" w:eastAsia="黑体" w:cs="黑体"/>
          <w:sz w:val="72"/>
          <w:szCs w:val="72"/>
          <w:lang w:val="en-US" w:eastAsia="zh-CN"/>
        </w:rPr>
        <w:t>1</w:t>
      </w:r>
      <w:bookmarkStart w:id="0" w:name="_GoBack"/>
      <w:bookmarkEnd w:id="0"/>
    </w:p>
    <w:p>
      <w:pPr>
        <w:widowControl/>
        <w:jc w:val="left"/>
        <w:rPr>
          <w:rFonts w:ascii="黑体" w:hAnsi="黑体" w:eastAsia="黑体" w:cs="黑体"/>
          <w:sz w:val="36"/>
          <w:szCs w:val="36"/>
        </w:rPr>
      </w:pPr>
      <w:r>
        <w:rPr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263525</wp:posOffset>
            </wp:positionV>
            <wp:extent cx="4008120" cy="4008120"/>
            <wp:effectExtent l="0" t="0" r="0" b="0"/>
            <wp:wrapNone/>
            <wp:docPr id="1" name="图片 1" descr="CH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H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08120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>
      <w:pPr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JXM系列是智能型气体检测模组，模组内置高精度电化学传感器，通过专利电路将气体浓度信号输出为客户需要的数字信号。</w:t>
      </w:r>
    </w:p>
    <w:p>
      <w:r>
        <w:rPr>
          <w:rFonts w:hint="eastAsia"/>
        </w:rPr>
        <w:t xml:space="preserve">    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>
      <w:pPr>
        <w:numPr>
          <w:ilvl w:val="0"/>
          <w:numId w:val="2"/>
        </w:numPr>
      </w:pPr>
      <w:r>
        <w:rPr>
          <w:rFonts w:hint="eastAsia"/>
        </w:rPr>
        <w:t>专利可变增益放大电路，高灵敏度、高分辨率</w:t>
      </w:r>
    </w:p>
    <w:p>
      <w:pPr>
        <w:numPr>
          <w:ilvl w:val="0"/>
          <w:numId w:val="2"/>
        </w:numPr>
      </w:pPr>
      <w:r>
        <w:rPr>
          <w:rFonts w:hint="eastAsia"/>
        </w:rPr>
        <w:t>出厂已标定，无需二次标定，直接使用</w:t>
      </w:r>
    </w:p>
    <w:p>
      <w:pPr>
        <w:numPr>
          <w:ilvl w:val="0"/>
          <w:numId w:val="2"/>
        </w:numPr>
      </w:pPr>
      <w:r>
        <w:rPr>
          <w:rFonts w:hint="eastAsia"/>
        </w:rPr>
        <w:t>体积小，易安装，本安设计</w:t>
      </w:r>
    </w:p>
    <w:p>
      <w:pPr>
        <w:numPr>
          <w:ilvl w:val="0"/>
          <w:numId w:val="2"/>
        </w:numPr>
      </w:pPr>
      <w:r>
        <w:rPr>
          <w:rFonts w:hint="eastAsia"/>
        </w:rPr>
        <w:t>支持包括数字量和模拟量在内的多种接口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7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氧气（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8"/>
                <w:szCs w:val="28"/>
                <w:lang w:val="en-US" w:eastAsia="zh-CN" w:bidi="ar"/>
              </w:rPr>
              <w:t>O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8"/>
                <w:szCs w:val="28"/>
                <w:vertAlign w:val="subscript"/>
                <w:lang w:val="en-US" w:eastAsia="zh-CN" w:bidi="ar"/>
              </w:rPr>
              <w:t>2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测量范围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eastAsia" w:ascii="Times New Roman" w:hAnsi="Times New Roman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0-30%</w:t>
            </w: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（默认）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color w:val="000000"/>
                <w:szCs w:val="22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 xml:space="preserve">0-60% 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（可选）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0-100%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（可选）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分辨率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0.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1%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≤读数的±3%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(</w:t>
            </w:r>
            <w:r>
              <w:rPr>
                <w:color w:val="000000"/>
                <w:szCs w:val="24"/>
              </w:rPr>
              <w:t>25</w:t>
            </w:r>
            <w:r>
              <w:rPr>
                <w:rFonts w:hAnsi="宋体"/>
                <w:color w:val="000000"/>
                <w:szCs w:val="24"/>
              </w:rPr>
              <w:t>℃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响应时间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一般小于</w:t>
            </w:r>
            <w:r>
              <w:rPr>
                <w:rFonts w:hint="eastAsia"/>
                <w:szCs w:val="22"/>
              </w:rPr>
              <w:t>15</w:t>
            </w:r>
            <w:r>
              <w:rPr>
                <w:szCs w:val="22"/>
              </w:rPr>
              <w:t>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检测原理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波特率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通讯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供电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耗电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运行温度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工作湿度环境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</w:t>
            </w:r>
            <w:r>
              <w:rPr>
                <w:szCs w:val="22"/>
              </w:rPr>
              <w:t>-9</w:t>
            </w:r>
            <w:r>
              <w:rPr>
                <w:rFonts w:hint="eastAsia"/>
                <w:szCs w:val="22"/>
              </w:rPr>
              <w:t>5</w:t>
            </w:r>
            <w:r>
              <w:rPr>
                <w:szCs w:val="22"/>
              </w:rPr>
              <w:t>%RH</w:t>
            </w:r>
            <w:r>
              <w:rPr>
                <w:color w:val="000000"/>
                <w:kern w:val="0"/>
                <w:szCs w:val="21"/>
              </w:rPr>
              <w:t>(</w:t>
            </w:r>
            <w:r>
              <w:rPr>
                <w:szCs w:val="22"/>
              </w:rPr>
              <w:t>无凝结)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外形尺寸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高：2</w:t>
            </w:r>
            <w:r>
              <w:rPr>
                <w:rFonts w:hint="eastAsia"/>
                <w:color w:val="000000"/>
                <w:szCs w:val="22"/>
                <w:lang w:val="en-US" w:eastAsia="zh-CN"/>
              </w:rPr>
              <w:t>9</w:t>
            </w:r>
            <w:r>
              <w:rPr>
                <w:rFonts w:hint="eastAsia"/>
                <w:color w:val="000000"/>
                <w:szCs w:val="22"/>
              </w:rPr>
              <w:t>.5mm（±0.25mm）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材质</w:t>
            </w:r>
          </w:p>
        </w:tc>
        <w:tc>
          <w:tcPr>
            <w:tcW w:w="4555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铝合金 重量：10g</w:t>
            </w:r>
          </w:p>
        </w:tc>
      </w:tr>
    </w:tbl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引脚说明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3558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3"/>
        <w:gridCol w:w="198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198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1573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下图是模组的尺寸图，根据尺寸合理进行安装使用，如图所示：</w:t>
      </w:r>
    </w:p>
    <w:p>
      <w:pPr>
        <w:widowControl/>
        <w:ind w:firstLine="602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/>
          <w:b/>
          <w:bCs/>
          <w:sz w:val="30"/>
          <w:szCs w:val="30"/>
        </w:rPr>
        <w:drawing>
          <wp:inline distT="0" distB="0" distL="0" distR="0">
            <wp:extent cx="2847975" cy="2743200"/>
            <wp:effectExtent l="19050" t="0" r="9525" b="0"/>
            <wp:docPr id="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9891" t="46472" r="7039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7432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3"/>
        </w:numPr>
        <w:ind w:firstLineChars="0"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我司研发的模组通讯分为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TTL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和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Modbus RTU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两种通讯方式。其中，</w:t>
      </w:r>
      <w:r>
        <w:rPr>
          <w:rFonts w:hint="eastAsia"/>
        </w:rPr>
        <w:t>模组有两种工作方式，分别为</w:t>
      </w:r>
      <w:r>
        <w:rPr>
          <w:rFonts w:hint="eastAsia"/>
          <w:b/>
        </w:rPr>
        <w:t>主动上报模式</w:t>
      </w:r>
      <w:r>
        <w:rPr>
          <w:rFonts w:hint="eastAsia"/>
        </w:rPr>
        <w:t>和</w:t>
      </w:r>
      <w:r>
        <w:rPr>
          <w:rFonts w:hint="eastAsia" w:asciiTheme="minorEastAsia" w:hAnsiTheme="minorEastAsia" w:eastAsiaTheme="minorEastAsia"/>
          <w:b/>
          <w:bCs/>
        </w:rPr>
        <w:t>问询模式</w:t>
      </w:r>
      <w:r>
        <w:rPr>
          <w:rFonts w:hint="eastAsia"/>
        </w:rPr>
        <w:t>，默认工作模式为</w:t>
      </w:r>
      <w:r>
        <w:rPr>
          <w:rFonts w:hint="eastAsia"/>
          <w:b/>
        </w:rPr>
        <w:t>主动上报模式；</w:t>
      </w:r>
      <w:r>
        <w:rPr>
          <w:rFonts w:hint="eastAsia" w:asciiTheme="minorEastAsia" w:hAnsiTheme="minorEastAsia" w:eastAsiaTheme="minorEastAsia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02 00 00 00 00 05</w:t>
      </w:r>
      <w:r>
        <w:rPr>
          <w:rFonts w:hint="eastAsia" w:asciiTheme="minorEastAsia" w:hAnsiTheme="minorEastAsia" w:eastAsiaTheme="minorEastAsia"/>
          <w:bCs/>
        </w:rPr>
        <w:t>可以切换为问询模式</w:t>
      </w:r>
      <w:r>
        <w:rPr>
          <w:rFonts w:asciiTheme="minorEastAsia" w:hAnsiTheme="minorEastAsia" w:eastAsiaTheme="minorEastAsia"/>
          <w:bCs/>
        </w:rPr>
        <w:tab/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01 00 00 00 00 04</w:t>
      </w:r>
      <w:r>
        <w:rPr>
          <w:rFonts w:hint="eastAsia" w:asciiTheme="minorEastAsia" w:hAnsiTheme="minorEastAsia" w:eastAsiaTheme="minorEastAsia"/>
          <w:bCs/>
        </w:rPr>
        <w:t>可以切换为主动上报模式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其中通讯模式0x</w:t>
      </w:r>
      <w:r>
        <w:rPr>
          <w:rFonts w:asciiTheme="minorEastAsia" w:hAnsiTheme="minorEastAsia" w:eastAsiaTheme="minorEastAsia"/>
          <w:bCs/>
          <w:szCs w:val="24"/>
        </w:rPr>
        <w:t>01</w:t>
      </w:r>
      <w:r>
        <w:rPr>
          <w:rFonts w:hint="eastAsia" w:asciiTheme="minorEastAsia" w:hAnsiTheme="minorEastAsia" w:eastAsiaTheme="minorEastAsia"/>
          <w:bCs/>
          <w:szCs w:val="24"/>
        </w:rPr>
        <w:t>代表主动上报，0x</w:t>
      </w:r>
      <w:r>
        <w:rPr>
          <w:rFonts w:asciiTheme="minorEastAsia" w:hAnsiTheme="minorEastAsia" w:eastAsiaTheme="minorEastAsia"/>
          <w:bCs/>
          <w:szCs w:val="24"/>
        </w:rPr>
        <w:t>02</w:t>
      </w:r>
      <w:r>
        <w:rPr>
          <w:rFonts w:hint="eastAsia" w:asciiTheme="minorEastAsia" w:hAnsiTheme="minorEastAsia" w:eastAsiaTheme="minorEastAsia"/>
          <w:bCs/>
          <w:szCs w:val="24"/>
        </w:rPr>
        <w:t>代表问询式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2.1 TTL通讯方式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2.1.2 通讯命令</w:t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（1）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主动上报模式-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788"/>
        <w:gridCol w:w="892"/>
        <w:gridCol w:w="892"/>
        <w:gridCol w:w="671"/>
        <w:gridCol w:w="771"/>
        <w:gridCol w:w="771"/>
        <w:gridCol w:w="771"/>
        <w:gridCol w:w="771"/>
        <w:gridCol w:w="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</w:p>
        </w:tc>
        <w:tc>
          <w:tcPr>
            <w:tcW w:w="7091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44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气体浓度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0X07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1</w:t>
            </w:r>
          </w:p>
        </w:tc>
        <w:tc>
          <w:tcPr>
            <w:tcW w:w="6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widowControl/>
        <w:ind w:firstLine="480" w:firstLineChars="200"/>
        <w:rPr>
          <w:rFonts w:ascii="黑体" w:hAnsi="黑体" w:eastAsia="黑体" w:cs="黑体"/>
          <w:kern w:val="0"/>
          <w:szCs w:val="24"/>
        </w:rPr>
      </w:pPr>
      <w:r>
        <w:rPr>
          <w:rFonts w:hint="eastAsia"/>
          <w:bCs/>
          <w:szCs w:val="24"/>
        </w:rPr>
        <w:t>其中分辨率代表小数点位数：如下表所示</w:t>
      </w:r>
    </w:p>
    <w:tbl>
      <w:tblPr>
        <w:tblStyle w:val="7"/>
        <w:tblW w:w="2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00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02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03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.001</w:t>
            </w:r>
          </w:p>
        </w:tc>
      </w:tr>
    </w:tbl>
    <w:p>
      <w:pPr>
        <w:ind w:firstLine="578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其中气体浓度值</w:t>
      </w:r>
      <w:r>
        <w:rPr>
          <w:rFonts w:asciiTheme="minorEastAsia" w:hAnsiTheme="minorEastAsia" w:eastAsiaTheme="minorEastAsia"/>
          <w:bCs/>
          <w:szCs w:val="24"/>
        </w:rPr>
        <w:t>=(气体浓度高位*256+气体浓度低位)*分辨率系数。</w:t>
      </w:r>
    </w:p>
    <w:p>
      <w:pPr>
        <w:ind w:firstLine="578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 xml:space="preserve">FF </w:t>
      </w:r>
      <w:r>
        <w:rPr>
          <w:rFonts w:hint="eastAsia" w:asciiTheme="minorEastAsia" w:hAnsiTheme="minorEastAsia" w:eastAsiaTheme="minorEastAsia"/>
          <w:bCs/>
          <w:szCs w:val="24"/>
        </w:rPr>
        <w:t xml:space="preserve">01 </w:t>
      </w:r>
      <w:r>
        <w:rPr>
          <w:rFonts w:asciiTheme="minorEastAsia" w:hAnsiTheme="minorEastAsia" w:eastAsiaTheme="minorEastAsia"/>
          <w:bCs/>
          <w:szCs w:val="24"/>
        </w:rPr>
        <w:t>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1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其中气体浓度值读出来为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 0x35，</w:t>
      </w:r>
      <w:r>
        <w:rPr>
          <w:rFonts w:hint="eastAsia" w:asciiTheme="minorEastAsia" w:hAnsiTheme="minorEastAsia" w:eastAsiaTheme="minorEastAsia"/>
          <w:bCs/>
          <w:szCs w:val="24"/>
        </w:rPr>
        <w:t>转换为1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</w:rPr>
        <w:t>进制为1和5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</w:rPr>
        <w:t>；</w:t>
      </w:r>
      <w:r>
        <w:rPr>
          <w:rFonts w:asciiTheme="minorEastAsia" w:hAnsiTheme="minorEastAsia" w:eastAsiaTheme="minorEastAsia"/>
          <w:bCs/>
          <w:szCs w:val="24"/>
        </w:rPr>
        <w:t>分辨率位位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1</w:t>
      </w:r>
      <w:r>
        <w:rPr>
          <w:rFonts w:asciiTheme="minorEastAsia" w:hAnsiTheme="minorEastAsia" w:eastAsiaTheme="minorEastAsia"/>
          <w:bCs/>
          <w:szCs w:val="24"/>
        </w:rPr>
        <w:t>，查表分辨率系数位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0.</w:t>
      </w:r>
      <w:r>
        <w:rPr>
          <w:rFonts w:asciiTheme="minorEastAsia" w:hAnsiTheme="minorEastAsia" w:eastAsiaTheme="minorEastAsia"/>
          <w:bCs/>
          <w:szCs w:val="24"/>
        </w:rPr>
        <w:t>1，则计算：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0.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 xml:space="preserve">9 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%</w:t>
      </w:r>
      <w:r>
        <w:rPr>
          <w:rFonts w:asciiTheme="minorEastAsia" w:hAnsiTheme="minorEastAsia" w:eastAsiaTheme="minorEastAsia"/>
          <w:bCs/>
          <w:szCs w:val="24"/>
        </w:rPr>
        <w:tab/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（2）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问询模式-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139" w:type="dxa"/>
        <w:tblInd w:w="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01"/>
        <w:gridCol w:w="908"/>
        <w:gridCol w:w="840"/>
        <w:gridCol w:w="627"/>
        <w:gridCol w:w="784"/>
        <w:gridCol w:w="784"/>
        <w:gridCol w:w="784"/>
        <w:gridCol w:w="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7139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</w:tr>
    </w:tbl>
    <w:p>
      <w:pPr>
        <w:ind w:firstLine="480" w:firstLineChars="200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实例发送:</w:t>
      </w:r>
      <w:r>
        <w:rPr>
          <w:rFonts w:asciiTheme="minorEastAsia" w:hAnsiTheme="minorEastAsia" w:eastAsiaTheme="minorEastAsia"/>
          <w:bCs/>
          <w:szCs w:val="24"/>
        </w:rPr>
        <w:t xml:space="preserve"> FF 01 07 00 00 00 00 00 07</w:t>
      </w:r>
      <w:r>
        <w:rPr>
          <w:rFonts w:hint="eastAsia" w:asciiTheme="minorEastAsia" w:hAnsiTheme="minorEastAsia" w:eastAsiaTheme="minorEastAsia"/>
          <w:bCs/>
          <w:szCs w:val="24"/>
        </w:rPr>
        <w:t>问询一次数值</w:t>
      </w:r>
    </w:p>
    <w:tbl>
      <w:tblPr>
        <w:tblStyle w:val="7"/>
        <w:tblW w:w="7077" w:type="dxa"/>
        <w:tblInd w:w="6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713"/>
        <w:gridCol w:w="713"/>
        <w:gridCol w:w="810"/>
        <w:gridCol w:w="608"/>
        <w:gridCol w:w="699"/>
        <w:gridCol w:w="699"/>
        <w:gridCol w:w="699"/>
        <w:gridCol w:w="699"/>
        <w:gridCol w:w="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</w:p>
        </w:tc>
        <w:tc>
          <w:tcPr>
            <w:tcW w:w="6333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传感器浓度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1</w:t>
            </w:r>
          </w:p>
        </w:tc>
        <w:tc>
          <w:tcPr>
            <w:tcW w:w="6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>FF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01</w:t>
      </w:r>
      <w:r>
        <w:rPr>
          <w:rFonts w:asciiTheme="minorEastAsia" w:hAnsiTheme="minorEastAsia" w:eastAsiaTheme="minorEastAsia"/>
          <w:bCs/>
          <w:szCs w:val="24"/>
        </w:rPr>
        <w:t xml:space="preserve"> 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1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hint="eastAsia"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代表</w:t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0.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>9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%</w:t>
      </w: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（具体含义见前文）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2.2 Modbus RTU通讯方式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2.2.1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2.2.2 </w:t>
      </w:r>
      <w:r>
        <w:rPr>
          <w:rFonts w:hint="eastAsia" w:ascii="黑体" w:hAnsi="黑体" w:eastAsia="黑体" w:cs="黑体"/>
          <w:sz w:val="28"/>
          <w:szCs w:val="28"/>
        </w:rPr>
        <w:t>数据帧格式定义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采用 Modbus-RTU 通询规约，格式如下：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初始结构&gt;=4字节的时间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数据区= N字节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错误校验= 16位 CRC 码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结束结构&gt;=4字节的时间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CRC 码：二字节的校验码。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问询帧</w:t>
      </w:r>
    </w:p>
    <w:tbl>
      <w:tblPr>
        <w:tblStyle w:val="7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2"/>
        <w:spacing w:after="0" w:line="320" w:lineRule="exact"/>
        <w:ind w:firstLine="480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7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2.2.3 </w:t>
      </w:r>
      <w:r>
        <w:rPr>
          <w:rFonts w:hint="eastAsia" w:ascii="黑体" w:hAnsi="黑体" w:eastAsia="黑体" w:cs="黑体"/>
          <w:sz w:val="28"/>
          <w:szCs w:val="28"/>
        </w:rPr>
        <w:t>寄存器地址</w:t>
      </w:r>
    </w:p>
    <w:tbl>
      <w:tblPr>
        <w:tblStyle w:val="7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寄存器地址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PLC组态地址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内容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0006H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40007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气体浓度（单位</w:t>
            </w:r>
            <w:r>
              <w:rPr>
                <w:rFonts w:hint="eastAsia"/>
                <w:szCs w:val="22"/>
                <w:lang w:val="en-US" w:eastAsia="zh-CN"/>
              </w:rPr>
              <w:t>%</w:t>
            </w:r>
            <w:r>
              <w:rPr>
                <w:rFonts w:hint="eastAsia"/>
                <w:szCs w:val="22"/>
              </w:rPr>
              <w:t>）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0100H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40101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设备地址(0-252)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0101H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40102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波特率(2400/4800/9600)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2.2.4 </w:t>
      </w:r>
      <w:r>
        <w:rPr>
          <w:rFonts w:hint="eastAsia" w:ascii="黑体" w:hAnsi="黑体" w:eastAsia="黑体" w:cs="黑体"/>
          <w:sz w:val="28"/>
          <w:szCs w:val="28"/>
        </w:rPr>
        <w:t>通讯协议示例以及解释</w:t>
      </w:r>
    </w:p>
    <w:p>
      <w:pPr>
        <w:widowControl/>
        <w:jc w:val="left"/>
        <w:rPr>
          <w:rFonts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</w:rPr>
        <w:t>（1）读取设备地址0x01的气体值</w:t>
      </w:r>
    </w:p>
    <w:p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0x00,0x06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0x64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0x0B</w:t>
            </w:r>
          </w:p>
        </w:tc>
      </w:tr>
    </w:tbl>
    <w:p>
      <w:pPr>
        <w:pStyle w:val="6"/>
        <w:ind w:firstLine="0" w:firstLineChars="0"/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有效字节数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气体浓度值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0x02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0x00,0x10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0x78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0x35</w:t>
            </w:r>
          </w:p>
        </w:tc>
      </w:tr>
    </w:tbl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/>
          <w:vertAlign w:val="superscript"/>
        </w:rPr>
      </w:pPr>
      <w:r>
        <w:rPr>
          <w:rFonts w:hint="eastAsia" w:cs="黑体" w:asciiTheme="minorEastAsia" w:hAnsiTheme="minorEastAsia" w:eastAsiaTheme="minorEastAsia"/>
          <w:szCs w:val="24"/>
        </w:rPr>
        <w:t>0x00 0x10（16进制）=16（10进制）</w:t>
      </w:r>
      <w:r>
        <w:rPr>
          <w:rFonts w:hint="eastAsia" w:ascii="宋体" w:hAnsi="宋体" w:cs="宋体"/>
          <w:bCs/>
        </w:rPr>
        <w:t>=&gt;气体浓度=1</w:t>
      </w:r>
      <w:r>
        <w:rPr>
          <w:rFonts w:hint="eastAsia" w:ascii="宋体" w:hAnsi="宋体" w:cs="宋体"/>
          <w:bCs/>
          <w:lang w:val="en-US" w:eastAsia="zh-CN"/>
        </w:rPr>
        <w:t>.</w:t>
      </w:r>
      <w:r>
        <w:rPr>
          <w:rFonts w:hint="eastAsia" w:ascii="宋体" w:hAnsi="宋体" w:cs="宋体"/>
          <w:bCs/>
        </w:rPr>
        <w:t>6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%</w:t>
      </w:r>
    </w:p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，会造成不可以损坏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bCs/>
          <w:sz w:val="22"/>
          <w:szCs w:val="30"/>
        </w:rPr>
      </w:pPr>
      <w:r>
        <w:rPr>
          <w:rFonts w:hint="eastAsia"/>
        </w:rPr>
        <w:t>（8）</w:t>
      </w:r>
      <w:r>
        <w:t>请勿将模组安装在强空气对流环境下使用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3.2 质保和售后</w:t>
      </w: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4620538"/>
    <w:rsid w:val="09611157"/>
    <w:rsid w:val="160654FC"/>
    <w:rsid w:val="190412AB"/>
    <w:rsid w:val="39F24B37"/>
    <w:rsid w:val="50EC349B"/>
    <w:rsid w:val="53D86F4D"/>
    <w:rsid w:val="5BDA7536"/>
    <w:rsid w:val="70B571BB"/>
    <w:rsid w:val="765E3475"/>
    <w:rsid w:val="7C8E394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427</Words>
  <Characters>2434</Characters>
  <Lines>20</Lines>
  <Paragraphs>5</Paragraphs>
  <TotalTime>1</TotalTime>
  <ScaleCrop>false</ScaleCrop>
  <LinksUpToDate>false</LinksUpToDate>
  <CharactersWithSpaces>2856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X、dw</cp:lastModifiedBy>
  <cp:lastPrinted>2020-05-22T08:02:00Z</cp:lastPrinted>
  <dcterms:modified xsi:type="dcterms:W3CDTF">2021-06-04T02:34:44Z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