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-53975</wp:posOffset>
            </wp:positionH>
            <wp:positionV relativeFrom="page">
              <wp:posOffset>-1905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PID光离子传感器</w:t>
      </w: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JX-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PID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</w:pPr>
      <w:r>
        <w:rPr>
          <w:rFonts w:hint="eastAsia"/>
          <w:lang w:val="en-US" w:eastAsia="zh-CN"/>
        </w:rPr>
        <w:t>PID检测法是TVOC检测常用的检测方法，其原理是光离子化技术利用9.6eV的真空紫外灯发出紫外光照射有挥发性的有机物，当有机物的电离能紫外光的电离电位时，就会发生电离，然后通过对带电粒子施加电场，离子和电子在外加电场的作用下，向金属电极快速移动，在两个电极之间产生微弱电流信号，搭建微弱信号检测电路，将电流信号放大采集，再确定输出信号与气体浓度关系后，就可以通过输出信号判断检测到的有机物浓度</w:t>
      </w:r>
      <w:r>
        <w:rPr>
          <w:rFonts w:hint="eastAsia"/>
        </w:rPr>
        <w:t>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应用广泛：广泛应用于工厂、矿区、化工区，等环境的VOC挥发性有机气体检测。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反应灵敏：进入VOC气体环境后，响应速度小于三秒，离开时，回到零点的速度也非常快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体积小，重量轻</w:t>
      </w:r>
    </w:p>
    <w:p>
      <w:pPr>
        <w:numPr>
          <w:ilvl w:val="0"/>
          <w:numId w:val="2"/>
        </w:numPr>
      </w:pPr>
      <w:r>
        <w:rPr>
          <w:rFonts w:hint="eastAsia"/>
          <w:lang w:val="en-US" w:eastAsia="zh-CN"/>
        </w:rPr>
        <w:t>防水透气膜：高防护，易清洁，防水透气膜有效保护不受颗粒物及水汽影响，易于清洗和维修。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PID光离子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-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200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/0-2000ppm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测量精度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±3%在恒定的温度和压力条件下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在自由扩散情况下响应时间小于3s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工作电压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3.3-3.6v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0-93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  <w:r>
              <w:rPr>
                <w:rFonts w:hint="eastAsia"/>
                <w:szCs w:val="22"/>
                <w:lang w:eastAsia="zh-CN"/>
              </w:rPr>
              <w:t>（</w:t>
            </w:r>
            <w:r>
              <w:rPr>
                <w:rFonts w:hint="eastAsia"/>
                <w:szCs w:val="22"/>
                <w:lang w:val="en-US" w:eastAsia="zh-CN"/>
              </w:rPr>
              <w:t>相对湿度</w:t>
            </w:r>
            <w:r>
              <w:rPr>
                <w:rFonts w:hint="eastAsia"/>
                <w:szCs w:val="22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工作温度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-20-60℃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输出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线性输出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  <w:bookmarkStart w:id="0" w:name="_GoBack"/>
      <w:bookmarkEnd w:id="0"/>
    </w:p>
    <w:p>
      <w:pPr>
        <w:widowControl/>
        <w:ind w:firstLine="480" w:firstLineChars="200"/>
        <w:jc w:val="center"/>
        <w:rPr>
          <w:rFonts w:hint="default" w:cs="黑体" w:asciiTheme="minorEastAsia" w:hAnsiTheme="minorEastAsia" w:eastAsiaTheme="minorEastAsia"/>
          <w:kern w:val="0"/>
          <w:szCs w:val="24"/>
          <w:lang w:val="en-US"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2438400" cy="2886075"/>
            <wp:effectExtent l="0" t="0" r="0" b="9525"/>
            <wp:docPr id="3" name="图片 3" descr="EFDC1205-0794-48a9-B7F3-BF99C2009C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FDC1205-0794-48a9-B7F3-BF99C2009C2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黑体" w:asciiTheme="minorEastAsia" w:hAnsiTheme="minorEastAsia" w:eastAsiaTheme="minorEastAsia"/>
          <w:kern w:val="0"/>
          <w:szCs w:val="24"/>
          <w:lang w:val="en-US" w:eastAsia="zh-CN"/>
        </w:rPr>
        <w:t xml:space="preserve"> </w:t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1631897"/>
    <w:rsid w:val="0CD40D0F"/>
    <w:rsid w:val="13C34887"/>
    <w:rsid w:val="17B46406"/>
    <w:rsid w:val="1A8E6B09"/>
    <w:rsid w:val="1B1D774B"/>
    <w:rsid w:val="1B852971"/>
    <w:rsid w:val="2190067C"/>
    <w:rsid w:val="24092194"/>
    <w:rsid w:val="26EA473F"/>
    <w:rsid w:val="2778785C"/>
    <w:rsid w:val="30D417A2"/>
    <w:rsid w:val="336A649F"/>
    <w:rsid w:val="3AA16502"/>
    <w:rsid w:val="40EC6F1E"/>
    <w:rsid w:val="48554415"/>
    <w:rsid w:val="4B097D91"/>
    <w:rsid w:val="53D86F4D"/>
    <w:rsid w:val="540063AD"/>
    <w:rsid w:val="619E07DB"/>
    <w:rsid w:val="641C0F00"/>
    <w:rsid w:val="64CE3B87"/>
    <w:rsid w:val="668352C3"/>
    <w:rsid w:val="66E519AC"/>
    <w:rsid w:val="6B455A8F"/>
    <w:rsid w:val="6CA524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144</TotalTime>
  <ScaleCrop>false</ScaleCrop>
  <LinksUpToDate>false</LinksUpToDate>
  <CharactersWithSpaces>2856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万里孤坟</cp:lastModifiedBy>
  <cp:lastPrinted>2020-05-22T08:02:00Z</cp:lastPrinted>
  <dcterms:modified xsi:type="dcterms:W3CDTF">2021-12-21T01:17:39Z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