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ind w:firstLine="0" w:firstLineChars="0"/>
        <w:jc w:val="center"/>
        <w:rPr>
          <w:rFonts w:ascii="黑体" w:hAnsi="黑体" w:eastAsia="黑体" w:cs="黑体"/>
          <w:sz w:val="72"/>
          <w:szCs w:val="72"/>
        </w:rPr>
      </w:pPr>
    </w:p>
    <w:p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  <w:r>
        <w:rPr>
          <w:rFonts w:ascii="黑体" w:hAnsi="黑体" w:eastAsia="黑体" w:cs="黑体"/>
          <w:sz w:val="72"/>
          <w:szCs w:val="7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-122555</wp:posOffset>
            </wp:positionH>
            <wp:positionV relativeFrom="page">
              <wp:posOffset>-15240</wp:posOffset>
            </wp:positionV>
            <wp:extent cx="7658735" cy="10591800"/>
            <wp:effectExtent l="19050" t="0" r="0" b="0"/>
            <wp:wrapNone/>
            <wp:docPr id="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58735" cy="1059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 w:cs="黑体"/>
          <w:sz w:val="72"/>
          <w:szCs w:val="72"/>
        </w:rPr>
        <w:t xml:space="preserve"> </w:t>
      </w:r>
      <w:r>
        <w:rPr>
          <w:rFonts w:hint="eastAsia" w:ascii="黑体" w:hAnsi="黑体" w:eastAsia="黑体" w:cs="黑体"/>
          <w:b/>
          <w:sz w:val="72"/>
          <w:szCs w:val="72"/>
        </w:rPr>
        <w:t>智能气体模组传感器使用说明</w:t>
      </w:r>
    </w:p>
    <w:p>
      <w:pPr>
        <w:pStyle w:val="6"/>
        <w:ind w:firstLine="0" w:firstLineChars="0"/>
        <w:jc w:val="center"/>
        <w:rPr>
          <w:rFonts w:hint="default" w:ascii="黑体" w:hAnsi="黑体" w:eastAsia="黑体" w:cs="黑体"/>
          <w:b/>
          <w:sz w:val="72"/>
          <w:szCs w:val="72"/>
          <w:vertAlign w:val="subscript"/>
          <w:lang w:val="en-US" w:eastAsia="zh-CN"/>
        </w:rPr>
      </w:pPr>
      <w:r>
        <w:rPr>
          <w:rFonts w:hint="eastAsia" w:ascii="黑体" w:hAnsi="黑体" w:eastAsia="黑体" w:cs="黑体"/>
          <w:sz w:val="72"/>
          <w:szCs w:val="72"/>
        </w:rPr>
        <w:t xml:space="preserve">            </w:t>
      </w:r>
      <w:r>
        <w:rPr>
          <w:rFonts w:hint="eastAsia" w:ascii="黑体" w:hAnsi="黑体" w:eastAsia="黑体" w:cs="黑体"/>
          <w:b/>
          <w:sz w:val="72"/>
          <w:szCs w:val="72"/>
        </w:rPr>
        <w:t>JXM-</w:t>
      </w:r>
      <w:r>
        <w:rPr>
          <w:rFonts w:hint="eastAsia" w:ascii="黑体" w:hAnsi="黑体" w:eastAsia="黑体" w:cs="黑体"/>
          <w:b/>
          <w:sz w:val="72"/>
          <w:szCs w:val="72"/>
          <w:lang w:val="en-US" w:eastAsia="zh-CN"/>
        </w:rPr>
        <w:t>H</w:t>
      </w:r>
      <w:r>
        <w:rPr>
          <w:rFonts w:hint="eastAsia" w:ascii="黑体" w:hAnsi="黑体" w:eastAsia="黑体" w:cs="黑体"/>
          <w:b/>
          <w:sz w:val="72"/>
          <w:szCs w:val="72"/>
          <w:vertAlign w:val="subscript"/>
          <w:lang w:val="en-US" w:eastAsia="zh-CN"/>
        </w:rPr>
        <w:t>2</w:t>
      </w:r>
      <w:r>
        <w:rPr>
          <w:rFonts w:hint="eastAsia" w:ascii="黑体" w:hAnsi="黑体" w:eastAsia="黑体" w:cs="黑体"/>
          <w:b/>
          <w:sz w:val="72"/>
          <w:szCs w:val="72"/>
          <w:lang w:val="en-US" w:eastAsia="zh-CN"/>
        </w:rPr>
        <w:t>O</w:t>
      </w:r>
      <w:r>
        <w:rPr>
          <w:rFonts w:hint="eastAsia" w:ascii="黑体" w:hAnsi="黑体" w:eastAsia="黑体" w:cs="黑体"/>
          <w:b/>
          <w:sz w:val="72"/>
          <w:szCs w:val="72"/>
          <w:vertAlign w:val="subscript"/>
          <w:lang w:val="en-US" w:eastAsia="zh-CN"/>
        </w:rPr>
        <w:t>2</w:t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sz w:val="72"/>
          <w:szCs w:val="72"/>
        </w:rPr>
      </w:pPr>
      <w:r>
        <w:rPr>
          <w:rFonts w:hint="eastAsia" w:ascii="黑体" w:hAnsi="黑体" w:eastAsia="黑体" w:cs="黑体"/>
          <w:sz w:val="72"/>
          <w:szCs w:val="72"/>
        </w:rPr>
        <w:t xml:space="preserve">               V2.0</w:t>
      </w:r>
    </w:p>
    <w:p>
      <w:pPr>
        <w:widowControl/>
        <w:jc w:val="left"/>
        <w:rPr>
          <w:rFonts w:ascii="黑体" w:hAnsi="黑体" w:eastAsia="黑体" w:cs="黑体"/>
          <w:sz w:val="36"/>
          <w:szCs w:val="36"/>
        </w:rPr>
      </w:pPr>
      <w:r>
        <w:rPr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494030</wp:posOffset>
            </wp:positionH>
            <wp:positionV relativeFrom="paragraph">
              <wp:posOffset>263525</wp:posOffset>
            </wp:positionV>
            <wp:extent cx="4008120" cy="4008120"/>
            <wp:effectExtent l="0" t="0" r="0" b="0"/>
            <wp:wrapNone/>
            <wp:docPr id="1" name="图片 1" descr="CH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H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08120" cy="4008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黑体" w:hAnsi="黑体" w:eastAsia="黑体" w:cs="黑体"/>
          <w:sz w:val="32"/>
          <w:szCs w:val="32"/>
        </w:rPr>
        <w:br w:type="page"/>
      </w:r>
      <w:r>
        <w:rPr>
          <w:rFonts w:hint="eastAsia" w:ascii="黑体" w:hAnsi="黑体" w:eastAsia="黑体" w:cs="黑体"/>
          <w:sz w:val="36"/>
          <w:szCs w:val="36"/>
        </w:rPr>
        <w:t>第1章 产品简介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产品概述</w:t>
      </w:r>
    </w:p>
    <w:p>
      <w:pPr>
        <w:ind w:firstLine="480" w:firstLineChars="200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JXM系列是智能型气体检测模组，模组内置高精度电化学传感器，通过专利电路将气体浓度信号输出为客户需要的数字信号。</w:t>
      </w:r>
    </w:p>
    <w:p>
      <w:r>
        <w:rPr>
          <w:rFonts w:hint="eastAsia"/>
        </w:rPr>
        <w:t xml:space="preserve">    传感器内部带有高精度放大、去噪声处理、温度补偿处理，同时出厂前每个传感器都经过标准气体标定处理，保证客户拿到手的传感器模组直接输出可用和准确的气体浓度信息。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产品特点</w:t>
      </w:r>
    </w:p>
    <w:p>
      <w:pPr>
        <w:numPr>
          <w:ilvl w:val="0"/>
          <w:numId w:val="2"/>
        </w:numPr>
      </w:pPr>
      <w:r>
        <w:rPr>
          <w:rFonts w:hint="eastAsia"/>
          <w:lang w:val="en-US" w:eastAsia="zh-CN"/>
        </w:rPr>
        <w:t>氧化性：过氧化氢具有强氧化性，是非常强的氧化剂。</w:t>
      </w:r>
    </w:p>
    <w:p>
      <w:pPr>
        <w:numPr>
          <w:ilvl w:val="0"/>
          <w:numId w:val="2"/>
        </w:numPr>
      </w:pPr>
      <w:r>
        <w:rPr>
          <w:rFonts w:hint="eastAsia"/>
          <w:lang w:val="en-US" w:eastAsia="zh-CN"/>
        </w:rPr>
        <w:t>还原性：和氯气、高锰酸钾等强氧化剂反应被氧化生成氧气</w:t>
      </w:r>
    </w:p>
    <w:p>
      <w:pPr>
        <w:numPr>
          <w:ilvl w:val="0"/>
          <w:numId w:val="2"/>
        </w:numPr>
      </w:pPr>
      <w:r>
        <w:rPr>
          <w:rFonts w:hint="eastAsia"/>
          <w:lang w:val="en-US" w:eastAsia="zh-CN"/>
        </w:rPr>
        <w:t>遇有机物、受热分解放出氧气和水，遇铬酸、高锰酸钾、金属、碳酸反应剧烈</w:t>
      </w:r>
    </w:p>
    <w:p>
      <w:pPr>
        <w:numPr>
          <w:ilvl w:val="0"/>
          <w:numId w:val="2"/>
        </w:numPr>
      </w:pPr>
      <w:r>
        <w:rPr>
          <w:rFonts w:hint="eastAsia"/>
          <w:lang w:val="en-US" w:eastAsia="zh-CN"/>
        </w:rPr>
        <w:t>过氧化氢是一种极弱的酸，因此金属的过氧化物可以看做是它的盐</w:t>
      </w:r>
    </w:p>
    <w:p>
      <w:pPr>
        <w:numPr>
          <w:ilvl w:val="0"/>
          <w:numId w:val="2"/>
        </w:numPr>
      </w:pPr>
      <w:r>
        <w:rPr>
          <w:rFonts w:hint="eastAsia"/>
          <w:lang w:val="en-US" w:eastAsia="zh-CN"/>
        </w:rPr>
        <w:t>纯过氧化氢很稳定，加热到153℃便猛烈分解成水和氧气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产品参数</w:t>
      </w:r>
    </w:p>
    <w:tbl>
      <w:tblPr>
        <w:tblStyle w:val="7"/>
        <w:tblW w:w="6632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7"/>
        <w:gridCol w:w="455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参数</w:t>
            </w:r>
          </w:p>
        </w:tc>
        <w:tc>
          <w:tcPr>
            <w:tcW w:w="4555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技术指标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2077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检测气体</w:t>
            </w:r>
          </w:p>
        </w:tc>
        <w:tc>
          <w:tcPr>
            <w:tcW w:w="4555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过氧化氢</w:t>
            </w: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H</w:t>
            </w:r>
            <w:r>
              <w:rPr>
                <w:rFonts w:hint="eastAsia" w:ascii="宋体" w:hAnsi="宋体" w:cs="宋体"/>
                <w:color w:val="000000"/>
                <w:kern w:val="2"/>
                <w:sz w:val="24"/>
                <w:szCs w:val="24"/>
                <w:vertAlign w:val="subscript"/>
                <w:lang w:val="en-US" w:eastAsia="zh-CN" w:bidi="ar"/>
              </w:rPr>
              <w:t>2</w:t>
            </w:r>
            <w:r>
              <w:rPr>
                <w:rFonts w:hint="eastAsia" w:ascii="宋体" w:hAnsi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O</w:t>
            </w:r>
            <w:r>
              <w:rPr>
                <w:rFonts w:hint="eastAsia" w:ascii="宋体" w:hAnsi="宋体" w:cs="宋体"/>
                <w:color w:val="000000"/>
                <w:kern w:val="2"/>
                <w:sz w:val="24"/>
                <w:szCs w:val="24"/>
                <w:vertAlign w:val="subscript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eastAsia="宋体"/>
                <w:b/>
                <w:szCs w:val="22"/>
                <w:lang w:val="en-US" w:eastAsia="zh-CN"/>
              </w:rPr>
            </w:pPr>
            <w:r>
              <w:rPr>
                <w:rFonts w:hint="eastAsia"/>
                <w:b/>
                <w:szCs w:val="22"/>
                <w:lang w:val="en-US" w:eastAsia="zh-CN"/>
              </w:rPr>
              <w:t>沸点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eastAsia="宋体"/>
                <w:szCs w:val="22"/>
                <w:lang w:val="en-US" w:eastAsia="zh-CN"/>
              </w:rPr>
            </w:pPr>
            <w:r>
              <w:rPr>
                <w:rFonts w:hint="eastAsia"/>
                <w:szCs w:val="22"/>
                <w:lang w:val="en-US" w:eastAsia="zh-CN"/>
              </w:rPr>
              <w:t>150.2℃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分辨率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eastAsia="宋体"/>
                <w:szCs w:val="22"/>
                <w:lang w:val="en-US" w:eastAsia="zh-CN"/>
              </w:rPr>
            </w:pPr>
            <w:r>
              <w:rPr>
                <w:rFonts w:hint="eastAsia"/>
                <w:szCs w:val="22"/>
                <w:lang w:val="en-US" w:eastAsia="zh-CN"/>
              </w:rPr>
              <w:t>0-20ppm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精度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eastAsia="宋体"/>
                <w:color w:val="000000"/>
                <w:szCs w:val="22"/>
                <w:lang w:val="en-US" w:eastAsia="zh-CN"/>
              </w:rPr>
            </w:pPr>
            <w:r>
              <w:rPr>
                <w:rFonts w:hint="eastAsia"/>
                <w:color w:val="000000"/>
                <w:szCs w:val="22"/>
                <w:lang w:val="en-US" w:eastAsia="zh-CN"/>
              </w:rPr>
              <w:t>≤±2%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检测原理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电化学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通讯</w:t>
            </w:r>
            <w:r>
              <w:rPr>
                <w:rFonts w:hint="eastAsia"/>
                <w:b/>
                <w:szCs w:val="22"/>
              </w:rPr>
              <w:t>方式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TTL/Modbus RTU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  <w:lang w:val="en-US" w:eastAsia="zh-CN"/>
              </w:rPr>
              <w:t>临界</w:t>
            </w:r>
            <w:r>
              <w:rPr>
                <w:b/>
                <w:szCs w:val="22"/>
              </w:rPr>
              <w:t>温度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eastAsia="宋体"/>
                <w:szCs w:val="22"/>
                <w:lang w:val="en-US" w:eastAsia="zh-CN"/>
              </w:rPr>
            </w:pPr>
            <w:r>
              <w:rPr>
                <w:rFonts w:hint="eastAsia"/>
                <w:szCs w:val="22"/>
                <w:lang w:val="en-US" w:eastAsia="zh-CN"/>
              </w:rPr>
              <w:t>425℃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工作湿度环境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  <w:lang w:val="en-US" w:eastAsia="zh-CN"/>
              </w:rPr>
              <w:t>20-80</w:t>
            </w:r>
            <w:r>
              <w:rPr>
                <w:szCs w:val="22"/>
              </w:rPr>
              <w:t>%RH</w:t>
            </w:r>
            <w:r>
              <w:rPr>
                <w:color w:val="000000"/>
                <w:kern w:val="0"/>
                <w:szCs w:val="21"/>
              </w:rPr>
              <w:t>(</w:t>
            </w:r>
            <w:r>
              <w:rPr>
                <w:szCs w:val="22"/>
              </w:rPr>
              <w:t>无凝结)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eastAsia="宋体"/>
                <w:b/>
                <w:szCs w:val="22"/>
                <w:lang w:val="en-US" w:eastAsia="zh-CN"/>
              </w:rPr>
            </w:pPr>
            <w:r>
              <w:rPr>
                <w:rFonts w:hint="eastAsia"/>
                <w:b/>
                <w:szCs w:val="22"/>
                <w:lang w:val="en-US" w:eastAsia="zh-CN"/>
              </w:rPr>
              <w:t>工作环境温度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szCs w:val="22"/>
                <w:lang w:val="en-US" w:eastAsia="zh-CN"/>
              </w:rPr>
            </w:pPr>
            <w:r>
              <w:rPr>
                <w:rFonts w:hint="eastAsia"/>
                <w:szCs w:val="22"/>
                <w:lang w:val="en-US" w:eastAsia="zh-CN"/>
              </w:rPr>
              <w:t>10-45℃</w:t>
            </w:r>
            <w:bookmarkStart w:id="0" w:name="_GoBack"/>
            <w:bookmarkEnd w:id="0"/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b/>
                <w:szCs w:val="22"/>
                <w:lang w:val="en-US" w:eastAsia="zh-CN"/>
              </w:rPr>
            </w:pPr>
            <w:r>
              <w:rPr>
                <w:rFonts w:hint="eastAsia"/>
                <w:b/>
                <w:szCs w:val="22"/>
                <w:lang w:val="en-US" w:eastAsia="zh-CN"/>
              </w:rPr>
              <w:t>工作电压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szCs w:val="22"/>
                <w:lang w:val="en-US" w:eastAsia="zh-CN"/>
              </w:rPr>
            </w:pPr>
            <w:r>
              <w:rPr>
                <w:rFonts w:hint="eastAsia"/>
                <w:szCs w:val="22"/>
                <w:lang w:val="en-US" w:eastAsia="zh-CN"/>
              </w:rPr>
              <w:t>220v（+10%或-10%）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single" w:color="000000" w:sz="8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材质</w:t>
            </w:r>
          </w:p>
        </w:tc>
        <w:tc>
          <w:tcPr>
            <w:tcW w:w="4555" w:type="dxa"/>
            <w:tcBorders>
              <w:top w:val="nil"/>
              <w:bottom w:val="single" w:color="000000" w:sz="8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eastAsia="宋体"/>
                <w:szCs w:val="22"/>
                <w:lang w:val="en-US" w:eastAsia="zh-CN"/>
              </w:rPr>
            </w:pPr>
            <w:r>
              <w:rPr>
                <w:rFonts w:hint="eastAsia"/>
                <w:szCs w:val="22"/>
                <w:lang w:val="en-US" w:eastAsia="zh-CN"/>
              </w:rPr>
              <w:t>无色透明液体（常态）</w:t>
            </w:r>
          </w:p>
        </w:tc>
      </w:tr>
    </w:tbl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引脚说明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下图（表）是模组的引脚说明，如图（表）所示：</w:t>
      </w:r>
    </w:p>
    <w:tbl>
      <w:tblPr>
        <w:tblStyle w:val="7"/>
        <w:tblW w:w="3558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3"/>
        <w:gridCol w:w="198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序号</w:t>
            </w:r>
          </w:p>
        </w:tc>
        <w:tc>
          <w:tcPr>
            <w:tcW w:w="1985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定义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1573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1</w:t>
            </w:r>
          </w:p>
        </w:tc>
        <w:tc>
          <w:tcPr>
            <w:tcW w:w="1985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VO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2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VCC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3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GND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4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color w:val="000000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Cs w:val="22"/>
              </w:rPr>
              <w:t>485A/RXD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5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485B/TXD</w:t>
            </w:r>
          </w:p>
        </w:tc>
      </w:tr>
    </w:tbl>
    <w:p>
      <w:pPr>
        <w:widowControl/>
        <w:ind w:firstLine="480" w:firstLineChars="200"/>
        <w:jc w:val="center"/>
        <w:rPr>
          <w:rFonts w:cs="黑体" w:asciiTheme="minorEastAsia" w:hAnsiTheme="minorEastAsia" w:eastAsiaTheme="minorEastAsia"/>
          <w:kern w:val="0"/>
          <w:szCs w:val="24"/>
        </w:rPr>
      </w:pPr>
    </w:p>
    <w:p>
      <w:pPr>
        <w:widowControl/>
        <w:rPr>
          <w:rFonts w:hint="eastAsia" w:ascii="黑体" w:hAnsi="黑体" w:eastAsia="黑体" w:cs="黑体"/>
          <w:kern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t xml:space="preserve"> </w:t>
      </w:r>
    </w:p>
    <w:p>
      <w:pPr>
        <w:widowControl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t xml:space="preserve">         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485通讯引脚图                     TTL通讯引脚图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产品尺寸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下图是模组的尺寸图，根据尺寸合理进行安装使用，如图所示：</w:t>
      </w:r>
    </w:p>
    <w:p>
      <w:pPr>
        <w:widowControl/>
        <w:ind w:firstLine="602" w:firstLineChars="200"/>
        <w:jc w:val="center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/>
          <w:b/>
          <w:bCs/>
          <w:sz w:val="30"/>
          <w:szCs w:val="30"/>
        </w:rPr>
        <w:drawing>
          <wp:inline distT="0" distB="0" distL="0" distR="0">
            <wp:extent cx="2847975" cy="2743200"/>
            <wp:effectExtent l="0" t="0" r="9525" b="0"/>
            <wp:docPr id="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9891" t="46472" r="7039"/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274320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11"/>
        <w:widowControl/>
        <w:numPr>
          <w:ilvl w:val="0"/>
          <w:numId w:val="3"/>
        </w:numPr>
        <w:ind w:firstLineChars="0"/>
        <w:rPr>
          <w:rFonts w:ascii="黑体" w:hAnsi="黑体" w:eastAsia="黑体" w:cs="黑体"/>
          <w:kern w:val="0"/>
          <w:sz w:val="36"/>
          <w:szCs w:val="36"/>
        </w:rPr>
      </w:pPr>
      <w:r>
        <w:rPr>
          <w:rFonts w:hint="eastAsia" w:ascii="黑体" w:hAnsi="黑体" w:eastAsia="黑体" w:cs="黑体"/>
          <w:kern w:val="0"/>
          <w:sz w:val="36"/>
          <w:szCs w:val="36"/>
        </w:rPr>
        <w:t>通讯协议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我司研发的模组通讯分为</w:t>
      </w:r>
      <w:r>
        <w:rPr>
          <w:rFonts w:hint="eastAsia" w:cs="黑体" w:asciiTheme="minorEastAsia" w:hAnsiTheme="minorEastAsia" w:eastAsiaTheme="minorEastAsia"/>
          <w:b/>
          <w:kern w:val="0"/>
          <w:szCs w:val="24"/>
        </w:rPr>
        <w:t>TTL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和</w:t>
      </w:r>
      <w:r>
        <w:rPr>
          <w:rFonts w:hint="eastAsia" w:cs="黑体" w:asciiTheme="minorEastAsia" w:hAnsiTheme="minorEastAsia" w:eastAsiaTheme="minorEastAsia"/>
          <w:b/>
          <w:kern w:val="0"/>
          <w:szCs w:val="24"/>
        </w:rPr>
        <w:t>Modbus RTU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两种通讯方式。其中，</w:t>
      </w:r>
      <w:r>
        <w:rPr>
          <w:rFonts w:hint="eastAsia"/>
        </w:rPr>
        <w:t>模组有两种工作方式，分别为</w:t>
      </w:r>
      <w:r>
        <w:rPr>
          <w:rFonts w:hint="eastAsia"/>
          <w:b/>
        </w:rPr>
        <w:t>主动上报模式</w:t>
      </w:r>
      <w:r>
        <w:rPr>
          <w:rFonts w:hint="eastAsia"/>
        </w:rPr>
        <w:t>和</w:t>
      </w:r>
      <w:r>
        <w:rPr>
          <w:rFonts w:hint="eastAsia" w:asciiTheme="minorEastAsia" w:hAnsiTheme="minorEastAsia" w:eastAsiaTheme="minorEastAsia"/>
          <w:b/>
          <w:bCs/>
        </w:rPr>
        <w:t>问询模式</w:t>
      </w:r>
      <w:r>
        <w:rPr>
          <w:rFonts w:hint="eastAsia"/>
        </w:rPr>
        <w:t>，默认工作模式为</w:t>
      </w:r>
      <w:r>
        <w:rPr>
          <w:rFonts w:hint="eastAsia"/>
          <w:b/>
        </w:rPr>
        <w:t>主动上报模式；</w:t>
      </w:r>
      <w:r>
        <w:rPr>
          <w:rFonts w:hint="eastAsia" w:asciiTheme="minorEastAsia" w:hAnsiTheme="minorEastAsia" w:eastAsiaTheme="minorEastAsia"/>
          <w:bCs/>
        </w:rPr>
        <w:t>如需改成问询模式，需要输入如下问询指令：</w:t>
      </w:r>
    </w:p>
    <w:p>
      <w:pPr>
        <w:widowControl/>
        <w:ind w:firstLine="480" w:firstLineChars="200"/>
        <w:rPr>
          <w:rFonts w:asciiTheme="minorEastAsia" w:hAnsiTheme="minorEastAsia" w:eastAsiaTheme="minorEastAsia"/>
          <w:bCs/>
        </w:rPr>
      </w:pPr>
      <w:r>
        <w:rPr>
          <w:rFonts w:hint="eastAsia" w:asciiTheme="minorEastAsia" w:hAnsiTheme="minorEastAsia" w:eastAsiaTheme="minorEastAsia"/>
          <w:bCs/>
        </w:rPr>
        <w:t>发送:</w:t>
      </w:r>
      <w:r>
        <w:rPr>
          <w:rFonts w:asciiTheme="minorEastAsia" w:hAnsiTheme="minorEastAsia" w:eastAsiaTheme="minorEastAsia"/>
          <w:bCs/>
        </w:rPr>
        <w:t xml:space="preserve"> FF 01 03 02 00 00 00 00 05</w:t>
      </w:r>
      <w:r>
        <w:rPr>
          <w:rFonts w:hint="eastAsia" w:asciiTheme="minorEastAsia" w:hAnsiTheme="minorEastAsia" w:eastAsiaTheme="minorEastAsia"/>
          <w:bCs/>
        </w:rPr>
        <w:t>可以切换为问询模式</w:t>
      </w:r>
      <w:r>
        <w:rPr>
          <w:rFonts w:asciiTheme="minorEastAsia" w:hAnsiTheme="minorEastAsia" w:eastAsiaTheme="minorEastAsia"/>
          <w:bCs/>
        </w:rPr>
        <w:tab/>
      </w:r>
    </w:p>
    <w:p>
      <w:pPr>
        <w:widowControl/>
        <w:ind w:firstLine="480" w:firstLineChars="200"/>
        <w:rPr>
          <w:rFonts w:asciiTheme="minorEastAsia" w:hAnsiTheme="minorEastAsia" w:eastAsiaTheme="minorEastAsia"/>
          <w:bCs/>
        </w:rPr>
      </w:pPr>
      <w:r>
        <w:rPr>
          <w:rFonts w:hint="eastAsia" w:asciiTheme="minorEastAsia" w:hAnsiTheme="minorEastAsia" w:eastAsiaTheme="minorEastAsia"/>
          <w:bCs/>
        </w:rPr>
        <w:t>发送:</w:t>
      </w:r>
      <w:r>
        <w:rPr>
          <w:rFonts w:asciiTheme="minorEastAsia" w:hAnsiTheme="minorEastAsia" w:eastAsiaTheme="minorEastAsia"/>
          <w:bCs/>
        </w:rPr>
        <w:t xml:space="preserve"> FF 01 03 01 00 00 00 00 04</w:t>
      </w:r>
      <w:r>
        <w:rPr>
          <w:rFonts w:hint="eastAsia" w:asciiTheme="minorEastAsia" w:hAnsiTheme="minorEastAsia" w:eastAsiaTheme="minorEastAsia"/>
          <w:bCs/>
        </w:rPr>
        <w:t>可以切换为主动上报模式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其中通讯模式0x</w:t>
      </w:r>
      <w:r>
        <w:rPr>
          <w:rFonts w:asciiTheme="minorEastAsia" w:hAnsiTheme="minorEastAsia" w:eastAsiaTheme="minorEastAsia"/>
          <w:bCs/>
          <w:szCs w:val="24"/>
        </w:rPr>
        <w:t>01</w:t>
      </w:r>
      <w:r>
        <w:rPr>
          <w:rFonts w:hint="eastAsia" w:asciiTheme="minorEastAsia" w:hAnsiTheme="minorEastAsia" w:eastAsiaTheme="minorEastAsia"/>
          <w:bCs/>
          <w:szCs w:val="24"/>
        </w:rPr>
        <w:t>代表主动上报，0x</w:t>
      </w:r>
      <w:r>
        <w:rPr>
          <w:rFonts w:asciiTheme="minorEastAsia" w:hAnsiTheme="minorEastAsia" w:eastAsiaTheme="minorEastAsia"/>
          <w:bCs/>
          <w:szCs w:val="24"/>
        </w:rPr>
        <w:t>02</w:t>
      </w:r>
      <w:r>
        <w:rPr>
          <w:rFonts w:hint="eastAsia" w:asciiTheme="minorEastAsia" w:hAnsiTheme="minorEastAsia" w:eastAsiaTheme="minorEastAsia"/>
          <w:bCs/>
          <w:szCs w:val="24"/>
        </w:rPr>
        <w:t>代表问询式</w:t>
      </w:r>
    </w:p>
    <w:p>
      <w:pPr>
        <w:widowControl/>
        <w:rPr>
          <w:rFonts w:ascii="黑体" w:hAnsi="黑体" w:eastAsia="黑体" w:cs="黑体"/>
          <w:kern w:val="0"/>
          <w:sz w:val="30"/>
          <w:szCs w:val="30"/>
        </w:rPr>
      </w:pPr>
      <w:r>
        <w:rPr>
          <w:rFonts w:hint="eastAsia" w:ascii="黑体" w:hAnsi="黑体" w:eastAsia="黑体" w:cs="黑体"/>
          <w:kern w:val="0"/>
          <w:sz w:val="30"/>
          <w:szCs w:val="30"/>
        </w:rPr>
        <w:t>2.1 TTL通讯方式</w:t>
      </w: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2.1.1 通讯基本参数</w:t>
      </w:r>
    </w:p>
    <w:tbl>
      <w:tblPr>
        <w:tblStyle w:val="7"/>
        <w:tblW w:w="618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449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参数</w:t>
            </w:r>
          </w:p>
        </w:tc>
        <w:tc>
          <w:tcPr>
            <w:tcW w:w="449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数据位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奇偶校验位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停止位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错误校准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波特率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2.1.2 通讯命令</w:t>
      </w:r>
    </w:p>
    <w:p>
      <w:pPr>
        <w:rPr>
          <w:rFonts w:asciiTheme="minorEastAsia" w:hAnsiTheme="minorEastAsia" w:eastAsiaTheme="minorEastAsia"/>
          <w:b/>
          <w:sz w:val="28"/>
          <w:szCs w:val="28"/>
        </w:rPr>
      </w:pPr>
      <w:r>
        <w:rPr>
          <w:rFonts w:hint="eastAsia" w:cs="黑体" w:asciiTheme="minorEastAsia" w:hAnsiTheme="minorEastAsia" w:eastAsiaTheme="minorEastAsia"/>
          <w:b/>
          <w:kern w:val="0"/>
          <w:sz w:val="28"/>
          <w:szCs w:val="28"/>
        </w:rPr>
        <w:t>（1）</w:t>
      </w:r>
      <w:r>
        <w:rPr>
          <w:rFonts w:hint="eastAsia" w:asciiTheme="minorEastAsia" w:hAnsiTheme="minorEastAsia" w:eastAsiaTheme="minorEastAsia"/>
          <w:b/>
          <w:sz w:val="28"/>
          <w:szCs w:val="28"/>
        </w:rPr>
        <w:t>主动上报模式-</w:t>
      </w:r>
      <w:r>
        <w:rPr>
          <w:rFonts w:asciiTheme="minorEastAsia" w:hAnsiTheme="minorEastAsia" w:eastAsiaTheme="minorEastAsia"/>
          <w:b/>
          <w:sz w:val="28"/>
          <w:szCs w:val="28"/>
        </w:rPr>
        <w:t>07</w:t>
      </w:r>
    </w:p>
    <w:tbl>
      <w:tblPr>
        <w:tblStyle w:val="7"/>
        <w:tblW w:w="791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0"/>
        <w:gridCol w:w="788"/>
        <w:gridCol w:w="892"/>
        <w:gridCol w:w="892"/>
        <w:gridCol w:w="671"/>
        <w:gridCol w:w="771"/>
        <w:gridCol w:w="771"/>
        <w:gridCol w:w="771"/>
        <w:gridCol w:w="771"/>
        <w:gridCol w:w="7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8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</w:p>
        </w:tc>
        <w:tc>
          <w:tcPr>
            <w:tcW w:w="7091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接受（RX）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8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78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442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气体浓度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6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8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78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1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0X07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  <w:t>3</w:t>
            </w:r>
          </w:p>
        </w:tc>
        <w:tc>
          <w:tcPr>
            <w:tcW w:w="6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高字节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低字节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6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3A</w:t>
            </w:r>
          </w:p>
        </w:tc>
      </w:tr>
    </w:tbl>
    <w:p>
      <w:pPr>
        <w:widowControl/>
        <w:ind w:firstLine="480" w:firstLineChars="200"/>
        <w:rPr>
          <w:rFonts w:ascii="黑体" w:hAnsi="黑体" w:eastAsia="黑体" w:cs="黑体"/>
          <w:kern w:val="0"/>
          <w:szCs w:val="24"/>
        </w:rPr>
      </w:pPr>
      <w:r>
        <w:rPr>
          <w:rFonts w:hint="eastAsia"/>
          <w:bCs/>
          <w:szCs w:val="24"/>
        </w:rPr>
        <w:t>其中分辨率代表小数点位数：如下表所示</w:t>
      </w:r>
    </w:p>
    <w:tbl>
      <w:tblPr>
        <w:tblStyle w:val="7"/>
        <w:tblW w:w="24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3"/>
        <w:gridCol w:w="13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分辨率系数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00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02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03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.001</w:t>
            </w:r>
          </w:p>
        </w:tc>
      </w:tr>
    </w:tbl>
    <w:p>
      <w:pPr>
        <w:ind w:firstLine="578"/>
        <w:rPr>
          <w:rFonts w:asciiTheme="minorEastAsia" w:hAnsiTheme="minorEastAsia" w:eastAsiaTheme="minorEastAsia"/>
          <w:bCs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其中气体浓度值</w:t>
      </w:r>
      <w:r>
        <w:rPr>
          <w:rFonts w:asciiTheme="minorEastAsia" w:hAnsiTheme="minorEastAsia" w:eastAsiaTheme="minorEastAsia"/>
          <w:bCs/>
          <w:szCs w:val="24"/>
        </w:rPr>
        <w:t>=(气体浓度高位*256+气体浓度低位)*分辨率系数。</w:t>
      </w:r>
    </w:p>
    <w:p>
      <w:pPr>
        <w:ind w:firstLine="578"/>
        <w:rPr>
          <w:rFonts w:hint="eastAsia" w:asciiTheme="minorEastAsia" w:hAnsiTheme="minorEastAsia" w:eastAsiaTheme="minorEastAsia"/>
          <w:bCs/>
          <w:szCs w:val="24"/>
          <w:lang w:val="en-US" w:eastAsia="zh-CN"/>
        </w:rPr>
      </w:pPr>
      <w:r>
        <w:rPr>
          <w:rFonts w:asciiTheme="minorEastAsia" w:hAnsiTheme="minorEastAsia" w:eastAsiaTheme="minorEastAsia"/>
          <w:bCs/>
          <w:szCs w:val="24"/>
        </w:rPr>
        <w:t>例如</w:t>
      </w:r>
      <w:r>
        <w:rPr>
          <w:rFonts w:hint="eastAsia" w:asciiTheme="minorEastAsia" w:hAnsiTheme="minorEastAsia" w:eastAsiaTheme="minorEastAsia"/>
          <w:bCs/>
          <w:szCs w:val="24"/>
        </w:rPr>
        <w:t>：</w:t>
      </w:r>
      <w:r>
        <w:rPr>
          <w:rFonts w:asciiTheme="minorEastAsia" w:hAnsiTheme="minorEastAsia" w:eastAsiaTheme="minorEastAsia"/>
          <w:bCs/>
          <w:szCs w:val="24"/>
        </w:rPr>
        <w:t>读出的通讯字节为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</w:t>
      </w:r>
      <w:r>
        <w:rPr>
          <w:rFonts w:asciiTheme="minorEastAsia" w:hAnsiTheme="minorEastAsia" w:eastAsiaTheme="minorEastAsia"/>
          <w:bCs/>
          <w:szCs w:val="24"/>
        </w:rPr>
        <w:t xml:space="preserve">FF </w:t>
      </w:r>
      <w:r>
        <w:rPr>
          <w:rFonts w:hint="eastAsia" w:asciiTheme="minorEastAsia" w:hAnsiTheme="minorEastAsia" w:eastAsiaTheme="minorEastAsia"/>
          <w:bCs/>
          <w:szCs w:val="24"/>
        </w:rPr>
        <w:t xml:space="preserve">01 </w:t>
      </w:r>
      <w:r>
        <w:rPr>
          <w:rFonts w:asciiTheme="minorEastAsia" w:hAnsiTheme="minorEastAsia" w:eastAsiaTheme="minorEastAsia"/>
          <w:bCs/>
          <w:szCs w:val="24"/>
        </w:rPr>
        <w:t>07 0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3</w:t>
      </w:r>
      <w:r>
        <w:rPr>
          <w:rFonts w:asciiTheme="minorEastAsia" w:hAnsiTheme="minorEastAsia" w:eastAsiaTheme="minorEastAsia"/>
          <w:bCs/>
          <w:szCs w:val="24"/>
        </w:rPr>
        <w:t xml:space="preserve"> 01 35 00 00 00 3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F</w:t>
      </w:r>
    </w:p>
    <w:p>
      <w:pPr>
        <w:rPr>
          <w:rFonts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asciiTheme="minorEastAsia" w:hAnsiTheme="minorEastAsia" w:eastAsiaTheme="minorEastAsia"/>
          <w:bCs/>
          <w:szCs w:val="24"/>
        </w:rPr>
        <w:t>其中气体浓度值读出来为</w:t>
      </w:r>
      <w:r>
        <w:rPr>
          <w:rFonts w:hint="eastAsia" w:asciiTheme="minorEastAsia" w:hAnsiTheme="minorEastAsia" w:eastAsiaTheme="minorEastAsia"/>
          <w:bCs/>
          <w:szCs w:val="24"/>
        </w:rPr>
        <w:t>0</w:t>
      </w:r>
      <w:r>
        <w:rPr>
          <w:rFonts w:asciiTheme="minorEastAsia" w:hAnsiTheme="minorEastAsia" w:eastAsiaTheme="minorEastAsia"/>
          <w:bCs/>
          <w:szCs w:val="24"/>
        </w:rPr>
        <w:t>x01 0x35，</w:t>
      </w:r>
      <w:r>
        <w:rPr>
          <w:rFonts w:hint="eastAsia" w:asciiTheme="minorEastAsia" w:hAnsiTheme="minorEastAsia" w:eastAsiaTheme="minorEastAsia"/>
          <w:bCs/>
          <w:szCs w:val="24"/>
        </w:rPr>
        <w:t>转换为1</w:t>
      </w:r>
      <w:r>
        <w:rPr>
          <w:rFonts w:asciiTheme="minorEastAsia" w:hAnsiTheme="minorEastAsia" w:eastAsiaTheme="minorEastAsia"/>
          <w:bCs/>
          <w:szCs w:val="24"/>
        </w:rPr>
        <w:t>0</w:t>
      </w:r>
      <w:r>
        <w:rPr>
          <w:rFonts w:hint="eastAsia" w:asciiTheme="minorEastAsia" w:hAnsiTheme="minorEastAsia" w:eastAsiaTheme="minorEastAsia"/>
          <w:bCs/>
          <w:szCs w:val="24"/>
        </w:rPr>
        <w:t>进制为1和5</w:t>
      </w:r>
      <w:r>
        <w:rPr>
          <w:rFonts w:asciiTheme="minorEastAsia" w:hAnsiTheme="minorEastAsia" w:eastAsiaTheme="minorEastAsia"/>
          <w:bCs/>
          <w:szCs w:val="24"/>
        </w:rPr>
        <w:t>3</w:t>
      </w:r>
      <w:r>
        <w:rPr>
          <w:rFonts w:hint="eastAsia" w:asciiTheme="minorEastAsia" w:hAnsiTheme="minorEastAsia" w:eastAsiaTheme="minorEastAsia"/>
          <w:bCs/>
          <w:szCs w:val="24"/>
        </w:rPr>
        <w:t>；</w:t>
      </w:r>
      <w:r>
        <w:rPr>
          <w:rFonts w:asciiTheme="minorEastAsia" w:hAnsiTheme="minorEastAsia" w:eastAsiaTheme="minorEastAsia"/>
          <w:bCs/>
          <w:szCs w:val="24"/>
        </w:rPr>
        <w:t>分辨率位位</w:t>
      </w:r>
      <w:r>
        <w:rPr>
          <w:rFonts w:hint="eastAsia" w:asciiTheme="minorEastAsia" w:hAnsiTheme="minorEastAsia" w:eastAsiaTheme="minorEastAsia"/>
          <w:bCs/>
          <w:szCs w:val="24"/>
        </w:rPr>
        <w:t>0</w:t>
      </w:r>
      <w:r>
        <w:rPr>
          <w:rFonts w:asciiTheme="minorEastAsia" w:hAnsiTheme="minorEastAsia" w:eastAsiaTheme="minorEastAsia"/>
          <w:bCs/>
          <w:szCs w:val="24"/>
        </w:rPr>
        <w:t>x0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3</w:t>
      </w:r>
      <w:r>
        <w:rPr>
          <w:rFonts w:asciiTheme="minorEastAsia" w:hAnsiTheme="minorEastAsia" w:eastAsiaTheme="minorEastAsia"/>
          <w:bCs/>
          <w:szCs w:val="24"/>
        </w:rPr>
        <w:t>，查表分辨率系数位</w:t>
      </w:r>
      <w:r>
        <w:rPr>
          <w:rFonts w:hint="eastAsia" w:asciiTheme="minorEastAsia" w:hAnsiTheme="minorEastAsia" w:eastAsiaTheme="minorEastAsia"/>
          <w:bCs/>
          <w:szCs w:val="24"/>
        </w:rPr>
        <w:t>0</w:t>
      </w:r>
      <w:r>
        <w:rPr>
          <w:rFonts w:asciiTheme="minorEastAsia" w:hAnsiTheme="minorEastAsia" w:eastAsiaTheme="minorEastAsia"/>
          <w:bCs/>
          <w:szCs w:val="24"/>
        </w:rPr>
        <w:t>.1，则计算：</w:t>
      </w:r>
    </w:p>
    <w:p>
      <w:pPr>
        <w:rPr>
          <w:rFonts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asciiTheme="minorEastAsia" w:hAnsiTheme="minorEastAsia" w:eastAsiaTheme="minorEastAsia"/>
          <w:bCs/>
          <w:szCs w:val="24"/>
        </w:rPr>
        <w:t>气体浓度=</w:t>
      </w:r>
      <w:r>
        <w:rPr>
          <w:rFonts w:hint="eastAsia" w:asciiTheme="minorEastAsia" w:hAnsiTheme="minorEastAsia" w:eastAsiaTheme="minorEastAsia"/>
          <w:bCs/>
          <w:szCs w:val="24"/>
        </w:rPr>
        <w:t>（</w:t>
      </w:r>
      <w:r>
        <w:rPr>
          <w:rFonts w:asciiTheme="minorEastAsia" w:hAnsiTheme="minorEastAsia" w:eastAsiaTheme="minorEastAsia"/>
          <w:bCs/>
          <w:szCs w:val="24"/>
        </w:rPr>
        <w:t>1*256+53）</w:t>
      </w:r>
      <w:r>
        <w:rPr>
          <w:rFonts w:hint="eastAsia" w:asciiTheme="minorEastAsia" w:hAnsiTheme="minorEastAsia" w:eastAsiaTheme="minorEastAsia"/>
          <w:bCs/>
          <w:szCs w:val="24"/>
        </w:rPr>
        <w:t>*</w:t>
      </w:r>
      <w:r>
        <w:rPr>
          <w:rFonts w:asciiTheme="minorEastAsia" w:hAnsiTheme="minorEastAsia" w:eastAsiaTheme="minorEastAsia"/>
          <w:bCs/>
          <w:szCs w:val="24"/>
        </w:rPr>
        <w:t>0.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00</w:t>
      </w:r>
      <w:r>
        <w:rPr>
          <w:rFonts w:asciiTheme="minorEastAsia" w:hAnsiTheme="minorEastAsia" w:eastAsiaTheme="minorEastAsia"/>
          <w:bCs/>
          <w:szCs w:val="24"/>
        </w:rPr>
        <w:t>1</w:t>
      </w:r>
      <w:r>
        <w:rPr>
          <w:rFonts w:hint="eastAsia" w:asciiTheme="minorEastAsia" w:hAnsiTheme="minorEastAsia" w:eastAsiaTheme="minorEastAsia"/>
          <w:bCs/>
          <w:szCs w:val="24"/>
        </w:rPr>
        <w:t>=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0.</w:t>
      </w:r>
      <w:r>
        <w:rPr>
          <w:rFonts w:asciiTheme="minorEastAsia" w:hAnsiTheme="minorEastAsia" w:eastAsiaTheme="minorEastAsia"/>
          <w:bCs/>
          <w:szCs w:val="24"/>
        </w:rPr>
        <w:t xml:space="preserve">309 </w:t>
      </w:r>
      <w:r>
        <w:rPr>
          <w:rFonts w:hint="eastAsia" w:asciiTheme="minorEastAsia" w:hAnsiTheme="minorEastAsia" w:eastAsiaTheme="minorEastAsia"/>
          <w:bCs/>
          <w:szCs w:val="24"/>
        </w:rPr>
        <w:t>ppm</w:t>
      </w:r>
      <w:r>
        <w:rPr>
          <w:rFonts w:asciiTheme="minorEastAsia" w:hAnsiTheme="minorEastAsia" w:eastAsiaTheme="minorEastAsia"/>
          <w:bCs/>
          <w:szCs w:val="24"/>
        </w:rPr>
        <w:tab/>
      </w:r>
    </w:p>
    <w:p>
      <w:pPr>
        <w:rPr>
          <w:rFonts w:asciiTheme="minorEastAsia" w:hAnsiTheme="minorEastAsia" w:eastAsiaTheme="minorEastAsia"/>
          <w:b/>
          <w:sz w:val="28"/>
          <w:szCs w:val="28"/>
        </w:rPr>
      </w:pPr>
      <w:r>
        <w:rPr>
          <w:rFonts w:hint="eastAsia" w:cs="黑体" w:asciiTheme="minorEastAsia" w:hAnsiTheme="minorEastAsia" w:eastAsiaTheme="minorEastAsia"/>
          <w:b/>
          <w:kern w:val="0"/>
          <w:sz w:val="28"/>
          <w:szCs w:val="28"/>
        </w:rPr>
        <w:t>（2）</w:t>
      </w:r>
      <w:r>
        <w:rPr>
          <w:rFonts w:hint="eastAsia" w:asciiTheme="minorEastAsia" w:hAnsiTheme="minorEastAsia" w:eastAsiaTheme="minorEastAsia"/>
          <w:b/>
          <w:sz w:val="28"/>
          <w:szCs w:val="28"/>
        </w:rPr>
        <w:t>问询模式-</w:t>
      </w:r>
      <w:r>
        <w:rPr>
          <w:rFonts w:asciiTheme="minorEastAsia" w:hAnsiTheme="minorEastAsia" w:eastAsiaTheme="minorEastAsia"/>
          <w:b/>
          <w:sz w:val="28"/>
          <w:szCs w:val="28"/>
        </w:rPr>
        <w:t>07</w:t>
      </w:r>
    </w:p>
    <w:tbl>
      <w:tblPr>
        <w:tblStyle w:val="7"/>
        <w:tblW w:w="7139" w:type="dxa"/>
        <w:tblInd w:w="5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5"/>
        <w:gridCol w:w="801"/>
        <w:gridCol w:w="908"/>
        <w:gridCol w:w="840"/>
        <w:gridCol w:w="627"/>
        <w:gridCol w:w="784"/>
        <w:gridCol w:w="784"/>
        <w:gridCol w:w="784"/>
        <w:gridCol w:w="7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7139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发送（TX）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83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80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90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4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-</w:t>
            </w:r>
          </w:p>
        </w:tc>
        <w:tc>
          <w:tcPr>
            <w:tcW w:w="62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-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83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80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90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  <w:tc>
          <w:tcPr>
            <w:tcW w:w="84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2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</w:tr>
    </w:tbl>
    <w:p>
      <w:pPr>
        <w:ind w:firstLine="480" w:firstLineChars="200"/>
        <w:rPr>
          <w:rFonts w:asciiTheme="minorEastAsia" w:hAnsiTheme="minorEastAsia" w:eastAsiaTheme="minorEastAsia"/>
          <w:bCs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实例发送:</w:t>
      </w:r>
      <w:r>
        <w:rPr>
          <w:rFonts w:asciiTheme="minorEastAsia" w:hAnsiTheme="minorEastAsia" w:eastAsiaTheme="minorEastAsia"/>
          <w:bCs/>
          <w:szCs w:val="24"/>
        </w:rPr>
        <w:t xml:space="preserve"> FF 01 07 00 00 00 00 00 07</w:t>
      </w:r>
      <w:r>
        <w:rPr>
          <w:rFonts w:hint="eastAsia" w:asciiTheme="minorEastAsia" w:hAnsiTheme="minorEastAsia" w:eastAsiaTheme="minorEastAsia"/>
          <w:bCs/>
          <w:szCs w:val="24"/>
        </w:rPr>
        <w:t>问询一次数值</w:t>
      </w:r>
    </w:p>
    <w:tbl>
      <w:tblPr>
        <w:tblStyle w:val="7"/>
        <w:tblW w:w="7077" w:type="dxa"/>
        <w:tblInd w:w="6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4"/>
        <w:gridCol w:w="713"/>
        <w:gridCol w:w="713"/>
        <w:gridCol w:w="810"/>
        <w:gridCol w:w="608"/>
        <w:gridCol w:w="699"/>
        <w:gridCol w:w="699"/>
        <w:gridCol w:w="699"/>
        <w:gridCol w:w="699"/>
        <w:gridCol w:w="6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74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4"/>
              </w:rPr>
            </w:pPr>
          </w:p>
        </w:tc>
        <w:tc>
          <w:tcPr>
            <w:tcW w:w="6333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Cs w:val="24"/>
              </w:rPr>
              <w:t>接受（RX）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" w:hRule="atLeast"/>
        </w:trPr>
        <w:tc>
          <w:tcPr>
            <w:tcW w:w="74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1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307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传感器浓度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74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  <w:tc>
          <w:tcPr>
            <w:tcW w:w="81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  <w:t>3</w:t>
            </w:r>
          </w:p>
        </w:tc>
        <w:tc>
          <w:tcPr>
            <w:tcW w:w="60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高字节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低字节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3A</w:t>
            </w:r>
          </w:p>
        </w:tc>
      </w:tr>
    </w:tbl>
    <w:p>
      <w:pPr>
        <w:ind w:firstLine="480" w:firstLineChars="200"/>
        <w:rPr>
          <w:rFonts w:hint="eastAsia" w:asciiTheme="minorEastAsia" w:hAnsiTheme="minorEastAsia" w:eastAsiaTheme="minorEastAsia"/>
          <w:bCs/>
          <w:szCs w:val="24"/>
          <w:lang w:val="en-US" w:eastAsia="zh-CN"/>
        </w:rPr>
      </w:pPr>
      <w:r>
        <w:rPr>
          <w:rFonts w:asciiTheme="minorEastAsia" w:hAnsiTheme="minorEastAsia" w:eastAsiaTheme="minorEastAsia"/>
          <w:bCs/>
          <w:szCs w:val="24"/>
        </w:rPr>
        <w:t>例如</w:t>
      </w:r>
      <w:r>
        <w:rPr>
          <w:rFonts w:hint="eastAsia" w:asciiTheme="minorEastAsia" w:hAnsiTheme="minorEastAsia" w:eastAsiaTheme="minorEastAsia"/>
          <w:bCs/>
          <w:szCs w:val="24"/>
        </w:rPr>
        <w:t>：</w:t>
      </w:r>
      <w:r>
        <w:rPr>
          <w:rFonts w:asciiTheme="minorEastAsia" w:hAnsiTheme="minorEastAsia" w:eastAsiaTheme="minorEastAsia"/>
          <w:bCs/>
          <w:szCs w:val="24"/>
        </w:rPr>
        <w:t>读出的通讯字节为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</w:t>
      </w:r>
      <w:r>
        <w:rPr>
          <w:rFonts w:asciiTheme="minorEastAsia" w:hAnsiTheme="minorEastAsia" w:eastAsiaTheme="minorEastAsia"/>
          <w:bCs/>
          <w:szCs w:val="24"/>
        </w:rPr>
        <w:t>FF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01</w:t>
      </w:r>
      <w:r>
        <w:rPr>
          <w:rFonts w:asciiTheme="minorEastAsia" w:hAnsiTheme="minorEastAsia" w:eastAsiaTheme="minorEastAsia"/>
          <w:bCs/>
          <w:szCs w:val="24"/>
        </w:rPr>
        <w:t xml:space="preserve"> 07 0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3</w:t>
      </w:r>
      <w:r>
        <w:rPr>
          <w:rFonts w:asciiTheme="minorEastAsia" w:hAnsiTheme="minorEastAsia" w:eastAsiaTheme="minorEastAsia"/>
          <w:bCs/>
          <w:szCs w:val="24"/>
        </w:rPr>
        <w:t xml:space="preserve"> 01 35 00 00 00 3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F</w:t>
      </w:r>
    </w:p>
    <w:p>
      <w:pPr>
        <w:rPr>
          <w:rFonts w:hint="eastAsia"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hint="eastAsia" w:asciiTheme="minorEastAsia" w:hAnsiTheme="minorEastAsia" w:eastAsiaTheme="minorEastAsia"/>
          <w:bCs/>
          <w:szCs w:val="24"/>
        </w:rPr>
        <w:t>代表</w:t>
      </w:r>
      <w:r>
        <w:rPr>
          <w:rFonts w:asciiTheme="minorEastAsia" w:hAnsiTheme="minorEastAsia" w:eastAsiaTheme="minorEastAsia"/>
          <w:bCs/>
          <w:szCs w:val="24"/>
        </w:rPr>
        <w:t>气体浓度=</w:t>
      </w:r>
      <w:r>
        <w:rPr>
          <w:rFonts w:hint="eastAsia" w:asciiTheme="minorEastAsia" w:hAnsiTheme="minorEastAsia" w:eastAsiaTheme="minorEastAsia"/>
          <w:bCs/>
          <w:szCs w:val="24"/>
        </w:rPr>
        <w:t>（</w:t>
      </w:r>
      <w:r>
        <w:rPr>
          <w:rFonts w:asciiTheme="minorEastAsia" w:hAnsiTheme="minorEastAsia" w:eastAsiaTheme="minorEastAsia"/>
          <w:bCs/>
          <w:szCs w:val="24"/>
        </w:rPr>
        <w:t>1*256+53）</w:t>
      </w:r>
      <w:r>
        <w:rPr>
          <w:rFonts w:hint="eastAsia" w:asciiTheme="minorEastAsia" w:hAnsiTheme="minorEastAsia" w:eastAsiaTheme="minorEastAsia"/>
          <w:bCs/>
          <w:szCs w:val="24"/>
        </w:rPr>
        <w:t>*</w:t>
      </w:r>
      <w:r>
        <w:rPr>
          <w:rFonts w:asciiTheme="minorEastAsia" w:hAnsiTheme="minorEastAsia" w:eastAsiaTheme="minorEastAsia"/>
          <w:bCs/>
          <w:szCs w:val="24"/>
        </w:rPr>
        <w:t>0.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00</w:t>
      </w:r>
      <w:r>
        <w:rPr>
          <w:rFonts w:asciiTheme="minorEastAsia" w:hAnsiTheme="minorEastAsia" w:eastAsiaTheme="minorEastAsia"/>
          <w:bCs/>
          <w:szCs w:val="24"/>
        </w:rPr>
        <w:t>1</w:t>
      </w:r>
      <w:r>
        <w:rPr>
          <w:rFonts w:hint="eastAsia" w:asciiTheme="minorEastAsia" w:hAnsiTheme="minorEastAsia" w:eastAsiaTheme="minorEastAsia"/>
          <w:bCs/>
          <w:szCs w:val="24"/>
        </w:rPr>
        <w:t>=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0.</w:t>
      </w:r>
      <w:r>
        <w:rPr>
          <w:rFonts w:asciiTheme="minorEastAsia" w:hAnsiTheme="minorEastAsia" w:eastAsiaTheme="minorEastAsia"/>
          <w:bCs/>
          <w:szCs w:val="24"/>
        </w:rPr>
        <w:t>309</w:t>
      </w:r>
      <w:r>
        <w:rPr>
          <w:rFonts w:hint="eastAsia" w:asciiTheme="minorEastAsia" w:hAnsiTheme="minorEastAsia" w:eastAsiaTheme="minorEastAsia"/>
          <w:bCs/>
          <w:szCs w:val="24"/>
        </w:rPr>
        <w:t>ppm</w:t>
      </w: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hint="eastAsia" w:asciiTheme="minorEastAsia" w:hAnsiTheme="minorEastAsia" w:eastAsiaTheme="minorEastAsia"/>
          <w:bCs/>
          <w:szCs w:val="24"/>
        </w:rPr>
        <w:t>（具体含义见前文）</w:t>
      </w:r>
    </w:p>
    <w:p>
      <w:pPr>
        <w:widowControl/>
        <w:rPr>
          <w:rFonts w:ascii="黑体" w:hAnsi="黑体" w:eastAsia="黑体" w:cs="黑体"/>
          <w:kern w:val="0"/>
          <w:sz w:val="30"/>
          <w:szCs w:val="30"/>
        </w:rPr>
      </w:pPr>
      <w:r>
        <w:rPr>
          <w:rFonts w:hint="eastAsia" w:ascii="黑体" w:hAnsi="黑体" w:eastAsia="黑体" w:cs="黑体"/>
          <w:kern w:val="0"/>
          <w:sz w:val="30"/>
          <w:szCs w:val="30"/>
        </w:rPr>
        <w:t>2.2 Modbus RTU通讯方式</w:t>
      </w: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2.2.1 通讯基本参数</w:t>
      </w:r>
    </w:p>
    <w:tbl>
      <w:tblPr>
        <w:tblStyle w:val="7"/>
        <w:tblW w:w="618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449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参数</w:t>
            </w:r>
          </w:p>
        </w:tc>
        <w:tc>
          <w:tcPr>
            <w:tcW w:w="449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数据位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奇偶校验位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停止位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错误校准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波特率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2.2.2 </w:t>
      </w:r>
      <w:r>
        <w:rPr>
          <w:rFonts w:hint="eastAsia" w:ascii="黑体" w:hAnsi="黑体" w:eastAsia="黑体" w:cs="黑体"/>
          <w:sz w:val="28"/>
          <w:szCs w:val="28"/>
        </w:rPr>
        <w:t>数据帧格式定义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采用 Modbus-RTU 通询规约，格式如下：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初始结构&gt;=4字节的时间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地址码= 1字节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功能码= 1字节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数据区= N字节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错误校验= 16位 CRC 码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结束结构&gt;=4字节的时间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地址码：为变送器的地址，在通询网络中是唯一的（出厂默认0x01）。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功能码：主机所发指令功能提示，本变送器只用到功能码 0x03（读取存器数据）。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数据区：数据区是具体通询数区，注意 16bits 数据高字节在前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CRC 码：二字节的校验码。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问询帧</w:t>
      </w:r>
    </w:p>
    <w:tbl>
      <w:tblPr>
        <w:tblStyle w:val="7"/>
        <w:tblW w:w="6176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0"/>
        <w:gridCol w:w="703"/>
        <w:gridCol w:w="984"/>
        <w:gridCol w:w="1124"/>
        <w:gridCol w:w="1124"/>
        <w:gridCol w:w="154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exact"/>
        </w:trPr>
        <w:tc>
          <w:tcPr>
            <w:tcW w:w="700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703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984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寄存器起始地址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寄存器长度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校验码低位</w:t>
            </w:r>
          </w:p>
        </w:tc>
        <w:tc>
          <w:tcPr>
            <w:tcW w:w="1541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校验码高位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exact"/>
        </w:trPr>
        <w:tc>
          <w:tcPr>
            <w:tcW w:w="700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703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984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541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</w:tr>
    </w:tbl>
    <w:p>
      <w:pPr>
        <w:pStyle w:val="2"/>
        <w:spacing w:after="0" w:line="320" w:lineRule="exact"/>
        <w:ind w:firstLine="480"/>
        <w:rPr>
          <w:rFonts w:eastAsia="Times New Roman"/>
          <w:sz w:val="21"/>
          <w:szCs w:val="21"/>
        </w:rPr>
      </w:pPr>
      <w:r>
        <w:rPr>
          <w:rFonts w:hint="eastAsia"/>
        </w:rPr>
        <w:t>应答帧</w:t>
      </w:r>
    </w:p>
    <w:tbl>
      <w:tblPr>
        <w:tblStyle w:val="7"/>
        <w:tblW w:w="6192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8"/>
        <w:gridCol w:w="679"/>
        <w:gridCol w:w="1050"/>
        <w:gridCol w:w="1188"/>
        <w:gridCol w:w="1206"/>
        <w:gridCol w:w="139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679" w:type="dxa"/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1050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81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有效字节数</w:t>
            </w:r>
          </w:p>
        </w:tc>
        <w:tc>
          <w:tcPr>
            <w:tcW w:w="1188" w:type="dxa"/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119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数据一区</w:t>
            </w:r>
          </w:p>
        </w:tc>
        <w:tc>
          <w:tcPr>
            <w:tcW w:w="1206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第二数据区</w:t>
            </w:r>
          </w:p>
        </w:tc>
        <w:tc>
          <w:tcPr>
            <w:tcW w:w="1391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23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第N数据区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679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050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188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206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391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</w:tr>
    </w:tbl>
    <w:p>
      <w:pPr>
        <w:widowControl/>
        <w:rPr>
          <w:rFonts w:hint="eastAsia" w:ascii="黑体" w:hAnsi="黑体" w:eastAsia="黑体" w:cs="黑体"/>
          <w:kern w:val="0"/>
          <w:sz w:val="28"/>
          <w:szCs w:val="28"/>
        </w:rPr>
      </w:pP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2.2.3 </w:t>
      </w:r>
      <w:r>
        <w:rPr>
          <w:rFonts w:hint="eastAsia" w:ascii="黑体" w:hAnsi="黑体" w:eastAsia="黑体" w:cs="黑体"/>
          <w:sz w:val="28"/>
          <w:szCs w:val="28"/>
        </w:rPr>
        <w:t>寄存器地址</w:t>
      </w:r>
    </w:p>
    <w:tbl>
      <w:tblPr>
        <w:tblStyle w:val="7"/>
        <w:tblW w:w="6237" w:type="dxa"/>
        <w:tblInd w:w="108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992"/>
        <w:gridCol w:w="2977"/>
        <w:gridCol w:w="850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寄存器地址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PLC组态地址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内容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操作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0006H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40007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气体浓度（单位ppm）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0100H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40101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设备地址(0-252)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读写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0101H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40102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波特率(2400/4800/9600)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读写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2.2.4 </w:t>
      </w:r>
      <w:r>
        <w:rPr>
          <w:rFonts w:hint="eastAsia" w:ascii="黑体" w:hAnsi="黑体" w:eastAsia="黑体" w:cs="黑体"/>
          <w:sz w:val="28"/>
          <w:szCs w:val="28"/>
        </w:rPr>
        <w:t>通讯协议示例以及解释</w:t>
      </w:r>
    </w:p>
    <w:p>
      <w:pPr>
        <w:widowControl/>
        <w:jc w:val="left"/>
        <w:rPr>
          <w:rFonts w:ascii="黑体" w:hAnsi="黑体" w:eastAsia="黑体" w:cs="黑体"/>
          <w:szCs w:val="24"/>
        </w:rPr>
      </w:pPr>
      <w:r>
        <w:rPr>
          <w:rFonts w:hint="eastAsia" w:ascii="黑体" w:hAnsi="黑体" w:eastAsia="黑体" w:cs="黑体"/>
          <w:szCs w:val="24"/>
        </w:rPr>
        <w:t>（1）读取设备地址0x01的气体值</w:t>
      </w:r>
    </w:p>
    <w:p>
      <w:r>
        <w:rPr>
          <w:rFonts w:hint="eastAsia"/>
        </w:rPr>
        <w:t>问询帧</w:t>
      </w:r>
    </w:p>
    <w:tbl>
      <w:tblPr>
        <w:tblStyle w:val="7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0x00,0x06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0x00,0x01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0x64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0x0B</w:t>
            </w:r>
          </w:p>
        </w:tc>
      </w:tr>
    </w:tbl>
    <w:p>
      <w:pPr>
        <w:pStyle w:val="6"/>
        <w:ind w:firstLine="0" w:firstLineChars="0"/>
      </w:pPr>
      <w:r>
        <w:rPr>
          <w:rFonts w:hint="eastAsia"/>
        </w:rPr>
        <w:t>应答帧</w:t>
      </w:r>
    </w:p>
    <w:tbl>
      <w:tblPr>
        <w:tblStyle w:val="7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有效字节数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气体浓度值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0x02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0x00,0x10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0x78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0x35</w:t>
            </w:r>
          </w:p>
        </w:tc>
      </w:tr>
    </w:tbl>
    <w:p>
      <w:pPr>
        <w:widowControl/>
        <w:rPr>
          <w:rFonts w:hint="eastAsia"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气体浓度:</w:t>
      </w:r>
    </w:p>
    <w:p>
      <w:pPr>
        <w:pStyle w:val="2"/>
        <w:spacing w:after="0" w:line="320" w:lineRule="exact"/>
        <w:ind w:firstLine="480"/>
        <w:rPr>
          <w:rFonts w:hint="eastAsia"/>
          <w:vertAlign w:val="superscript"/>
        </w:rPr>
      </w:pPr>
      <w:r>
        <w:rPr>
          <w:rFonts w:hint="eastAsia" w:cs="黑体" w:asciiTheme="minorEastAsia" w:hAnsiTheme="minorEastAsia" w:eastAsiaTheme="minorEastAsia"/>
          <w:szCs w:val="24"/>
        </w:rPr>
        <w:t>0x00 0x10（16进制）=16（10进制）</w:t>
      </w:r>
      <w:r>
        <w:rPr>
          <w:rFonts w:hint="eastAsia" w:ascii="宋体" w:hAnsi="宋体" w:cs="宋体"/>
          <w:bCs/>
        </w:rPr>
        <w:t>=&gt;气体浓度=</w:t>
      </w:r>
      <w:r>
        <w:rPr>
          <w:rFonts w:hint="eastAsia" w:ascii="宋体" w:hAnsi="宋体" w:cs="宋体"/>
          <w:bCs/>
          <w:lang w:val="en-US" w:eastAsia="zh-CN"/>
        </w:rPr>
        <w:t>0.0</w:t>
      </w:r>
      <w:r>
        <w:rPr>
          <w:rFonts w:hint="eastAsia" w:ascii="宋体" w:hAnsi="宋体" w:cs="宋体"/>
          <w:bCs/>
        </w:rPr>
        <w:t>16ppm</w:t>
      </w:r>
    </w:p>
    <w:p>
      <w:pPr>
        <w:widowControl/>
        <w:rPr>
          <w:rFonts w:ascii="黑体" w:hAnsi="黑体" w:eastAsia="黑体" w:cs="黑体"/>
          <w:kern w:val="0"/>
          <w:sz w:val="36"/>
          <w:szCs w:val="36"/>
        </w:rPr>
      </w:pPr>
      <w:r>
        <w:rPr>
          <w:rFonts w:hint="eastAsia" w:ascii="黑体" w:hAnsi="黑体" w:eastAsia="黑体" w:cs="黑体"/>
          <w:kern w:val="0"/>
          <w:sz w:val="36"/>
          <w:szCs w:val="36"/>
        </w:rPr>
        <w:t>第3章 附录</w:t>
      </w:r>
    </w:p>
    <w:p>
      <w:pPr>
        <w:rPr>
          <w:rFonts w:ascii="黑体" w:hAnsi="黑体" w:eastAsia="黑体"/>
          <w:bCs/>
          <w:sz w:val="30"/>
          <w:szCs w:val="30"/>
        </w:rPr>
      </w:pPr>
      <w:r>
        <w:rPr>
          <w:rFonts w:hint="eastAsia" w:ascii="黑体" w:hAnsi="黑体" w:eastAsia="黑体"/>
          <w:bCs/>
          <w:sz w:val="30"/>
          <w:szCs w:val="30"/>
        </w:rPr>
        <w:t>3.1 注意事项</w:t>
      </w:r>
    </w:p>
    <w:p>
      <w:pPr>
        <w:pStyle w:val="6"/>
        <w:ind w:firstLine="0" w:firstLineChars="0"/>
      </w:pPr>
      <w:r>
        <w:rPr>
          <w:rFonts w:hint="eastAsia"/>
        </w:rPr>
        <w:t>（1）</w:t>
      </w:r>
      <w:r>
        <w:t>禁止插拔模组上的传感器</w:t>
      </w:r>
      <w:r>
        <w:rPr>
          <w:rFonts w:hint="eastAsia"/>
        </w:rPr>
        <w:t>,错误的使用方式会造成不可逆损坏。</w:t>
      </w:r>
    </w:p>
    <w:p>
      <w:pPr>
        <w:pStyle w:val="6"/>
        <w:ind w:firstLine="0" w:firstLineChars="0"/>
      </w:pPr>
      <w:r>
        <w:rPr>
          <w:rFonts w:hint="eastAsia"/>
        </w:rPr>
        <w:t>（2）</w:t>
      </w:r>
      <w:r>
        <w:t xml:space="preserve">禁止直接焊接模组的插针，可对插针的管座进行焊接。 </w:t>
      </w:r>
    </w:p>
    <w:p>
      <w:pPr>
        <w:pStyle w:val="6"/>
        <w:ind w:firstLine="0" w:firstLineChars="0"/>
      </w:pPr>
      <w:r>
        <w:rPr>
          <w:rFonts w:hint="eastAsia"/>
        </w:rPr>
        <w:t>（3）</w:t>
      </w:r>
      <w:r>
        <w:t>模组避免接触有机溶剂（包括硅胶及其它胶粘剂）、涂料、药剂、油类</w:t>
      </w:r>
      <w:r>
        <w:rPr>
          <w:rFonts w:hint="eastAsia"/>
        </w:rPr>
        <w:t>。</w:t>
      </w:r>
    </w:p>
    <w:p>
      <w:pPr>
        <w:pStyle w:val="6"/>
        <w:ind w:firstLine="0" w:firstLineChars="0"/>
      </w:pPr>
      <w:r>
        <w:rPr>
          <w:rFonts w:hint="eastAsia"/>
        </w:rPr>
        <w:t>（4）切勿通过超量程</w:t>
      </w:r>
      <w:r>
        <w:t>高浓度气体</w:t>
      </w:r>
      <w:r>
        <w:rPr>
          <w:rFonts w:hint="eastAsia"/>
        </w:rPr>
        <w:t>，会造成不</w:t>
      </w:r>
      <w:r>
        <w:rPr>
          <w:rFonts w:hint="eastAsia"/>
          <w:lang w:val="en-US" w:eastAsia="zh-CN"/>
        </w:rPr>
        <w:t>可逆</w:t>
      </w:r>
      <w:r>
        <w:rPr>
          <w:rFonts w:hint="eastAsia"/>
        </w:rPr>
        <w:t>损坏</w:t>
      </w:r>
      <w:r>
        <w:t xml:space="preserve">。 </w:t>
      </w:r>
    </w:p>
    <w:p>
      <w:pPr>
        <w:pStyle w:val="6"/>
        <w:ind w:firstLine="0" w:firstLineChars="0"/>
      </w:pPr>
      <w:r>
        <w:rPr>
          <w:rFonts w:hint="eastAsia"/>
        </w:rPr>
        <w:t>（5）</w:t>
      </w:r>
      <w:r>
        <w:t xml:space="preserve">模组不可经受撞击或震动。 </w:t>
      </w:r>
    </w:p>
    <w:p>
      <w:pPr>
        <w:pStyle w:val="6"/>
        <w:ind w:firstLine="0" w:firstLineChars="0"/>
      </w:pPr>
      <w:r>
        <w:rPr>
          <w:rFonts w:hint="eastAsia"/>
        </w:rPr>
        <w:t>（6）</w:t>
      </w:r>
      <w:r>
        <w:t xml:space="preserve">模组初次上电使用需预热 </w:t>
      </w:r>
      <w:r>
        <w:rPr>
          <w:rFonts w:hint="eastAsia"/>
        </w:rPr>
        <w:t>3</w:t>
      </w:r>
      <w:r>
        <w:t xml:space="preserve"> 分钟以上。 </w:t>
      </w:r>
    </w:p>
    <w:p>
      <w:pPr>
        <w:pStyle w:val="6"/>
        <w:ind w:firstLine="0" w:firstLineChars="0"/>
      </w:pPr>
      <w:r>
        <w:rPr>
          <w:rFonts w:hint="eastAsia"/>
        </w:rPr>
        <w:t>（7）</w:t>
      </w:r>
      <w:r>
        <w:t xml:space="preserve">请勿将该模组应用于涉及人身安全的系统中。 </w:t>
      </w:r>
    </w:p>
    <w:p>
      <w:pPr>
        <w:rPr>
          <w:bCs/>
          <w:sz w:val="22"/>
          <w:szCs w:val="30"/>
        </w:rPr>
      </w:pPr>
      <w:r>
        <w:rPr>
          <w:rFonts w:hint="eastAsia"/>
        </w:rPr>
        <w:t>（8）</w:t>
      </w:r>
      <w:r>
        <w:t>请勿将模组安装在强空气对流环境下使用</w:t>
      </w:r>
    </w:p>
    <w:p>
      <w:pPr>
        <w:rPr>
          <w:rFonts w:ascii="黑体" w:hAnsi="黑体" w:eastAsia="黑体"/>
          <w:bCs/>
          <w:sz w:val="30"/>
          <w:szCs w:val="30"/>
        </w:rPr>
      </w:pPr>
      <w:r>
        <w:rPr>
          <w:rFonts w:hint="eastAsia" w:ascii="黑体" w:hAnsi="黑体" w:eastAsia="黑体"/>
          <w:bCs/>
          <w:sz w:val="30"/>
          <w:szCs w:val="30"/>
        </w:rPr>
        <w:t>3.2 质保和售后</w:t>
      </w:r>
    </w:p>
    <w:p>
      <w:pPr>
        <w:spacing w:line="320" w:lineRule="exact"/>
        <w:ind w:firstLine="480" w:firstLineChars="200"/>
      </w:pPr>
      <w:r>
        <w:rPr>
          <w:rFonts w:hint="eastAsia"/>
        </w:rPr>
        <w:t>质保条款遵循威海精讯畅通电子科技有限公司传感器售后条款，对于传感器主机电路部分质保两年，气敏类探头质保一年，配件（外壳/插头/线缆等）质保三个月。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C50BA5"/>
    <w:multiLevelType w:val="multilevel"/>
    <w:tmpl w:val="5AC50BA5"/>
    <w:lvl w:ilvl="0" w:tentative="0">
      <w:start w:val="1"/>
      <w:numFmt w:val="decimal"/>
      <w:lvlText w:val="%1"/>
      <w:lvlJc w:val="left"/>
      <w:pPr>
        <w:ind w:left="630" w:hanging="630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ind w:left="1440" w:hanging="144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ind w:left="2520" w:hanging="252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</w:rPr>
    </w:lvl>
  </w:abstractNum>
  <w:abstractNum w:abstractNumId="1">
    <w:nsid w:val="6A311AAE"/>
    <w:multiLevelType w:val="multilevel"/>
    <w:tmpl w:val="6A311AAE"/>
    <w:lvl w:ilvl="0" w:tentative="0">
      <w:start w:val="2"/>
      <w:numFmt w:val="decimal"/>
      <w:lvlText w:val="第%1章"/>
      <w:lvlJc w:val="left"/>
      <w:pPr>
        <w:ind w:left="1080" w:hanging="108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7EBD66E7"/>
    <w:multiLevelType w:val="multilevel"/>
    <w:tmpl w:val="7EBD66E7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D86F4D"/>
    <w:rsid w:val="00015BD2"/>
    <w:rsid w:val="00020E09"/>
    <w:rsid w:val="00060BAF"/>
    <w:rsid w:val="00067653"/>
    <w:rsid w:val="000D3A89"/>
    <w:rsid w:val="000E600D"/>
    <w:rsid w:val="0012469E"/>
    <w:rsid w:val="00124D1F"/>
    <w:rsid w:val="0015007D"/>
    <w:rsid w:val="00155A8D"/>
    <w:rsid w:val="00165196"/>
    <w:rsid w:val="00170F47"/>
    <w:rsid w:val="00180651"/>
    <w:rsid w:val="001A12DE"/>
    <w:rsid w:val="001C5EDD"/>
    <w:rsid w:val="00222295"/>
    <w:rsid w:val="002B3227"/>
    <w:rsid w:val="002C79CC"/>
    <w:rsid w:val="003564D3"/>
    <w:rsid w:val="00391D30"/>
    <w:rsid w:val="003D08CC"/>
    <w:rsid w:val="00407679"/>
    <w:rsid w:val="0045025A"/>
    <w:rsid w:val="004F0158"/>
    <w:rsid w:val="00506C04"/>
    <w:rsid w:val="00545E52"/>
    <w:rsid w:val="0056250F"/>
    <w:rsid w:val="005A55FE"/>
    <w:rsid w:val="005E11BB"/>
    <w:rsid w:val="005E5B1C"/>
    <w:rsid w:val="00604510"/>
    <w:rsid w:val="006051FD"/>
    <w:rsid w:val="00622E9A"/>
    <w:rsid w:val="00655215"/>
    <w:rsid w:val="00670982"/>
    <w:rsid w:val="00671F07"/>
    <w:rsid w:val="0069325D"/>
    <w:rsid w:val="006B316B"/>
    <w:rsid w:val="006C071E"/>
    <w:rsid w:val="006F0395"/>
    <w:rsid w:val="006F0FA5"/>
    <w:rsid w:val="00702E70"/>
    <w:rsid w:val="007436CC"/>
    <w:rsid w:val="007656C5"/>
    <w:rsid w:val="007945EB"/>
    <w:rsid w:val="007953A9"/>
    <w:rsid w:val="0079639D"/>
    <w:rsid w:val="007B73CD"/>
    <w:rsid w:val="007C24FE"/>
    <w:rsid w:val="007C4CC2"/>
    <w:rsid w:val="0081358D"/>
    <w:rsid w:val="00875F33"/>
    <w:rsid w:val="00883ACA"/>
    <w:rsid w:val="00944361"/>
    <w:rsid w:val="00977521"/>
    <w:rsid w:val="009A7432"/>
    <w:rsid w:val="009E00BC"/>
    <w:rsid w:val="009E0B6D"/>
    <w:rsid w:val="00A2496B"/>
    <w:rsid w:val="00A46F54"/>
    <w:rsid w:val="00A87E4B"/>
    <w:rsid w:val="00AC36BD"/>
    <w:rsid w:val="00B1053B"/>
    <w:rsid w:val="00B1634D"/>
    <w:rsid w:val="00B20B65"/>
    <w:rsid w:val="00B33158"/>
    <w:rsid w:val="00B73AE4"/>
    <w:rsid w:val="00B766DF"/>
    <w:rsid w:val="00BB0C11"/>
    <w:rsid w:val="00BB6D1F"/>
    <w:rsid w:val="00BC0A82"/>
    <w:rsid w:val="00BF6C06"/>
    <w:rsid w:val="00C1747F"/>
    <w:rsid w:val="00C32F80"/>
    <w:rsid w:val="00C33608"/>
    <w:rsid w:val="00C4260D"/>
    <w:rsid w:val="00C61020"/>
    <w:rsid w:val="00C9670A"/>
    <w:rsid w:val="00D3244E"/>
    <w:rsid w:val="00D420C6"/>
    <w:rsid w:val="00D461E0"/>
    <w:rsid w:val="00D5189C"/>
    <w:rsid w:val="00E044C1"/>
    <w:rsid w:val="00E36CF2"/>
    <w:rsid w:val="00E43E41"/>
    <w:rsid w:val="00E464AF"/>
    <w:rsid w:val="00E46C55"/>
    <w:rsid w:val="00E73302"/>
    <w:rsid w:val="00E81D91"/>
    <w:rsid w:val="00EA4C80"/>
    <w:rsid w:val="00EB4450"/>
    <w:rsid w:val="00EF6D94"/>
    <w:rsid w:val="00F0060B"/>
    <w:rsid w:val="00F11FF0"/>
    <w:rsid w:val="00F14272"/>
    <w:rsid w:val="00F1614E"/>
    <w:rsid w:val="00F22834"/>
    <w:rsid w:val="00F350FC"/>
    <w:rsid w:val="00F509D7"/>
    <w:rsid w:val="00F50C59"/>
    <w:rsid w:val="00F54888"/>
    <w:rsid w:val="00F57132"/>
    <w:rsid w:val="00F577FE"/>
    <w:rsid w:val="00F6582F"/>
    <w:rsid w:val="00F7077B"/>
    <w:rsid w:val="00FD56CA"/>
    <w:rsid w:val="00FF70D3"/>
    <w:rsid w:val="028A2AEE"/>
    <w:rsid w:val="043029D0"/>
    <w:rsid w:val="04A844D6"/>
    <w:rsid w:val="1344140C"/>
    <w:rsid w:val="13D716E6"/>
    <w:rsid w:val="13E55BA4"/>
    <w:rsid w:val="1BB43E10"/>
    <w:rsid w:val="53D86F4D"/>
    <w:rsid w:val="5BF4658C"/>
    <w:rsid w:val="60B63AD2"/>
    <w:rsid w:val="6ACF0EBD"/>
    <w:rsid w:val="6F620730"/>
    <w:rsid w:val="72A67E95"/>
    <w:rsid w:val="7E4C268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3">
    <w:name w:val="Balloon Text"/>
    <w:basedOn w:val="1"/>
    <w:link w:val="12"/>
    <w:qFormat/>
    <w:uiPriority w:val="0"/>
    <w:rPr>
      <w:sz w:val="18"/>
      <w:szCs w:val="18"/>
    </w:r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Body Text First Indent"/>
    <w:basedOn w:val="2"/>
    <w:qFormat/>
    <w:uiPriority w:val="0"/>
    <w:pPr>
      <w:ind w:firstLine="498"/>
    </w:pPr>
  </w:style>
  <w:style w:type="character" w:customStyle="1" w:styleId="9">
    <w:name w:val="页眉 Char"/>
    <w:basedOn w:val="8"/>
    <w:link w:val="5"/>
    <w:qFormat/>
    <w:uiPriority w:val="0"/>
    <w:rPr>
      <w:kern w:val="2"/>
      <w:sz w:val="18"/>
      <w:szCs w:val="18"/>
    </w:rPr>
  </w:style>
  <w:style w:type="character" w:customStyle="1" w:styleId="10">
    <w:name w:val="页脚 Char"/>
    <w:basedOn w:val="8"/>
    <w:link w:val="4"/>
    <w:qFormat/>
    <w:uiPriority w:val="0"/>
    <w:rPr>
      <w:kern w:val="2"/>
      <w:sz w:val="18"/>
      <w:szCs w:val="18"/>
    </w:rPr>
  </w:style>
  <w:style w:type="paragraph" w:styleId="11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2">
    <w:name w:val="批注框文本 Char"/>
    <w:basedOn w:val="8"/>
    <w:link w:val="3"/>
    <w:qFormat/>
    <w:uiPriority w:val="0"/>
    <w:rPr>
      <w:kern w:val="2"/>
      <w:sz w:val="18"/>
      <w:szCs w:val="18"/>
    </w:rPr>
  </w:style>
  <w:style w:type="paragraph" w:customStyle="1" w:styleId="13">
    <w:name w:val="Table Paragraph"/>
    <w:basedOn w:val="1"/>
    <w:qFormat/>
    <w:uiPriority w:val="1"/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427</Words>
  <Characters>2434</Characters>
  <Lines>20</Lines>
  <Paragraphs>5</Paragraphs>
  <TotalTime>18</TotalTime>
  <ScaleCrop>false</ScaleCrop>
  <LinksUpToDate>false</LinksUpToDate>
  <CharactersWithSpaces>2856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2019-09-05T07:46:00Z</dcterms:created>
  <dc:creator>许-技术支持</dc:creator>
  <cp:lastModifiedBy>万里孤坟</cp:lastModifiedBy>
  <cp:lastPrinted>2020-05-22T08:02:00Z</cp:lastPrinted>
  <dcterms:modified xsi:type="dcterms:W3CDTF">2021-12-20T02:03:05Z</dcterms:modified>
  <cp:revision>89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