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20320</wp:posOffset>
            </wp:positionH>
            <wp:positionV relativeFrom="page">
              <wp:posOffset>115570</wp:posOffset>
            </wp:positionV>
            <wp:extent cx="5288915" cy="7440930"/>
            <wp:effectExtent l="0" t="0" r="6985" b="7620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88915" cy="7440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9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rFonts w:hint="eastAsia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水溶液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氟离子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变送</w:t>
            </w:r>
            <w:r>
              <w:rPr>
                <w:b/>
                <w:bCs/>
                <w:sz w:val="72"/>
                <w:szCs w:val="72"/>
              </w:rPr>
              <w:t>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eastAsia="zh-CN"/>
              </w:rPr>
              <w:t>F-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1055370</wp:posOffset>
                  </wp:positionH>
                  <wp:positionV relativeFrom="paragraph">
                    <wp:posOffset>849630</wp:posOffset>
                  </wp:positionV>
                  <wp:extent cx="2352675" cy="1686560"/>
                  <wp:effectExtent l="0" t="0" r="9525" b="0"/>
                  <wp:wrapThrough wrapText="bothSides">
                    <wp:wrapPolygon>
                      <wp:start x="12943" y="1220"/>
                      <wp:lineTo x="10669" y="1464"/>
                      <wp:lineTo x="1924" y="4636"/>
                      <wp:lineTo x="525" y="6587"/>
                      <wp:lineTo x="175" y="7319"/>
                      <wp:lineTo x="525" y="20982"/>
                      <wp:lineTo x="11368" y="20982"/>
                      <wp:lineTo x="20988" y="13175"/>
                      <wp:lineTo x="21513" y="12199"/>
                      <wp:lineTo x="21513" y="5855"/>
                      <wp:lineTo x="21338" y="2684"/>
                      <wp:lineTo x="20288" y="1952"/>
                      <wp:lineTo x="15216" y="1220"/>
                      <wp:lineTo x="12943" y="1220"/>
                    </wp:wrapPolygon>
                  </wp:wrapThrough>
                  <wp:docPr id="2" name="图片 3" descr="C:\Users\Administrator\Desktop\说明书\氟离子4.png氟离子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 descr="C:\Users\Administrator\Desktop\说明书\氟离子4.png氟离子4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686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44"/>
                <w:szCs w:val="44"/>
              </w:rPr>
              <w:t>Ver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r>
              <w:rPr>
                <w:b/>
                <w:bCs/>
                <w:sz w:val="44"/>
                <w:szCs w:val="44"/>
              </w:rPr>
              <w:t>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2</w:t>
            </w:r>
            <w:bookmarkStart w:id="19" w:name="_GoBack"/>
            <w:bookmarkEnd w:id="19"/>
          </w:p>
        </w:tc>
      </w:tr>
    </w:tbl>
    <w:p>
      <w:pPr>
        <w:rPr>
          <w:b/>
          <w:bCs/>
          <w:sz w:val="72"/>
          <w:szCs w:val="72"/>
        </w:rPr>
      </w:pPr>
    </w:p>
    <w:p>
      <w:pPr>
        <w:jc w:val="center"/>
        <w:rPr>
          <w:sz w:val="30"/>
          <w:szCs w:val="30"/>
        </w:rPr>
        <w:sectPr>
          <w:footerReference r:id="rId7" w:type="first"/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pgSz w:w="8391" w:h="11907"/>
          <w:pgMar w:top="720" w:right="720" w:bottom="720" w:left="720" w:header="851" w:footer="851" w:gutter="284"/>
          <w:cols w:space="720" w:num="1"/>
          <w:titlePg/>
          <w:docGrid w:type="linesAndChars" w:linePitch="360" w:charSpace="1861"/>
        </w:sectPr>
      </w:pPr>
    </w:p>
    <w:p>
      <w:pPr>
        <w:pStyle w:val="2"/>
        <w:rPr>
          <w:rFonts w:hint="eastAsia"/>
        </w:rPr>
      </w:pPr>
      <w:bookmarkStart w:id="0" w:name="_Toc447699510"/>
      <w:r>
        <w:rPr>
          <w:rFonts w:hint="eastAsia"/>
        </w:rPr>
        <w:t>产品简介</w:t>
      </w:r>
    </w:p>
    <w:p>
      <w:pPr>
        <w:pStyle w:val="3"/>
        <w:rPr>
          <w:rFonts w:hint="eastAsia" w:ascii="宋体" w:hAnsi="宋体" w:eastAsia="宋体" w:cs="宋体"/>
        </w:rPr>
      </w:pPr>
      <w:r>
        <w:rPr>
          <w:rFonts w:hint="eastAsia"/>
        </w:rPr>
        <w:t>产品概述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</w:t>
      </w:r>
      <w:r>
        <w:rPr>
          <w:rFonts w:hint="eastAsia" w:ascii="宋体" w:hAnsi="宋体" w:cs="宋体"/>
          <w:szCs w:val="24"/>
          <w:lang w:val="en-US" w:eastAsia="zh-CN"/>
        </w:rPr>
        <w:t>氟离子</w:t>
      </w:r>
      <w:r>
        <w:rPr>
          <w:rFonts w:hint="eastAsia" w:ascii="宋体" w:hAnsi="宋体" w:cs="宋体"/>
          <w:szCs w:val="24"/>
        </w:rPr>
        <w:t>测试仪是一款智能在线化学分析仪器之一，是一款广泛应用于火电、化工化肥、冶金、环保、制药、生化、食品和自来水等溶液中</w:t>
      </w: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值和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的连续监测。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监测数据通过变送输出连接记录仪实现远传监控与记录，也可以连接RS485接口通过MODBUS-RTU协议可方便联入计算机实现监控与记录。同时设备具有2路继电器接口，可以设置报警点输出</w:t>
      </w:r>
    </w:p>
    <w:p>
      <w:pPr>
        <w:pStyle w:val="3"/>
        <w:rPr>
          <w:rFonts w:hint="eastAsia"/>
        </w:rPr>
      </w:pPr>
      <w:r>
        <w:rPr>
          <w:rFonts w:hint="eastAsia"/>
        </w:rPr>
        <w:t>功能特点</w:t>
      </w:r>
    </w:p>
    <w:p>
      <w:pPr>
        <w:ind w:firstLine="578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本产品探头采用由</w:t>
      </w: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玻璃电极和银氯化银参比电极复合而成，信号稳定，精度高。具有测量范围宽、线形度好、防水性能好、使用方便、便于安装、板卡模块化设计，组装配置、采用2.4寸128*64 点阵屏、隔离变送输出，干扰度更小、隔离RS485通讯、可进行</w:t>
      </w: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的测量、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测量、上下限控制、变送输出、RS485通讯、可组态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手动、自动补偿功能、可设置高、低报警功能，及迟滞量、液晶背光开关功能、增加万能密码功能等特点</w:t>
      </w:r>
    </w:p>
    <w:p>
      <w:pPr>
        <w:ind w:firstLine="57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主要参数</w:t>
      </w:r>
    </w:p>
    <w:tbl>
      <w:tblPr>
        <w:tblStyle w:val="9"/>
        <w:tblW w:w="6663" w:type="dxa"/>
        <w:tblInd w:w="108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985" w:type="dxa"/>
            <w:tcBorders>
              <w:bottom w:val="single" w:color="auto" w:sz="4" w:space="0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78" w:type="dxa"/>
            <w:tcBorders>
              <w:bottom w:val="single" w:color="auto" w:sz="4" w:space="0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auto" w:sz="4" w:space="0"/>
            </w:tcBorders>
            <w:shd w:val="clear" w:color="auto" w:fill="CCCCCC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78" w:type="dxa"/>
            <w:tcBorders>
              <w:top w:val="single" w:color="auto" w:sz="4" w:space="0"/>
            </w:tcBorders>
            <w:shd w:val="clear" w:color="auto" w:fill="CCCCCC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9</w:t>
            </w:r>
            <w:r>
              <w:rPr>
                <w:rFonts w:hint="eastAsia" w:ascii="宋体" w:hAnsi="宋体" w:cs="宋体"/>
                <w:color w:val="000000"/>
              </w:rPr>
              <w:t>-24V DC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耗电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≤0.15W（@12V DC , 25℃）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CCCCCC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测量精度</w:t>
            </w:r>
          </w:p>
        </w:tc>
        <w:tc>
          <w:tcPr>
            <w:tcW w:w="4678" w:type="dxa"/>
            <w:shd w:val="clear" w:color="auto" w:fill="CCCCCC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5%F.s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氟离子</w:t>
            </w:r>
            <w:r>
              <w:rPr>
                <w:rFonts w:hint="eastAsia" w:ascii="宋体" w:hAnsi="宋体" w:cs="宋体"/>
                <w:color w:val="000000"/>
              </w:rPr>
              <w:t>量程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0.06-2000ppm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CCCCCC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szCs w:val="24"/>
                <w:lang w:eastAsia="zh-CN"/>
              </w:rPr>
              <w:t>氟离子</w:t>
            </w:r>
            <w:r>
              <w:rPr>
                <w:rFonts w:hint="eastAsia" w:ascii="宋体" w:hAnsi="宋体" w:cs="宋体"/>
                <w:color w:val="000000"/>
              </w:rPr>
              <w:t>分辨率</w:t>
            </w:r>
          </w:p>
        </w:tc>
        <w:tc>
          <w:tcPr>
            <w:tcW w:w="4678" w:type="dxa"/>
            <w:shd w:val="clear" w:color="auto" w:fill="CCCCCC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0</w:t>
            </w:r>
            <w:r>
              <w:rPr>
                <w:rFonts w:ascii="宋体" w:hAnsi="宋体" w:cs="宋体"/>
                <w:color w:val="000000"/>
              </w:rPr>
              <w:t>.1</w:t>
            </w:r>
            <w:r>
              <w:rPr>
                <w:rFonts w:hint="eastAsia" w:ascii="宋体" w:hAnsi="宋体" w:cs="宋体"/>
                <w:color w:val="000000"/>
              </w:rPr>
              <w:t>ppm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（默认）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输出信号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4</w:t>
            </w:r>
            <w:r>
              <w:rPr>
                <w:rFonts w:ascii="宋体" w:hAnsi="宋体" w:cs="宋体"/>
                <w:color w:val="000000"/>
                <w:szCs w:val="24"/>
              </w:rPr>
              <w:t>85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/</w:t>
            </w:r>
            <w:r>
              <w:rPr>
                <w:rFonts w:ascii="宋体" w:hAnsi="宋体" w:cs="宋体"/>
                <w:color w:val="000000"/>
                <w:szCs w:val="24"/>
              </w:rPr>
              <w:t>4-20mA/0-10V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CCCCCC"/>
            <w:vAlign w:val="top"/>
          </w:tcPr>
          <w:p>
            <w:pPr>
              <w:rPr>
                <w:rFonts w:hint="default" w:ascii="宋体" w:hAnsi="宋体" w:cs="宋体"/>
                <w:color w:val="000000"/>
                <w:lang w:val="en-US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水温范围</w:t>
            </w:r>
          </w:p>
        </w:tc>
        <w:tc>
          <w:tcPr>
            <w:tcW w:w="4678" w:type="dxa"/>
            <w:shd w:val="clear" w:color="auto" w:fill="CCCCCC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</w:rPr>
              <w:t>-</w:t>
            </w: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</w:rPr>
              <w:t>0℃-80℃（手动/自动）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水温精度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0.1℃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CCCCCC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水温分辨率</w:t>
            </w:r>
          </w:p>
        </w:tc>
        <w:tc>
          <w:tcPr>
            <w:tcW w:w="4678" w:type="dxa"/>
            <w:shd w:val="clear" w:color="auto" w:fill="CCCCCC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探头尺寸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1</w:t>
            </w:r>
            <w:r>
              <w:rPr>
                <w:rFonts w:ascii="宋体" w:hAnsi="宋体" w:cs="宋体"/>
                <w:color w:val="000000"/>
              </w:rPr>
              <w:t>55</w:t>
            </w:r>
            <w:r>
              <w:rPr>
                <w:rFonts w:hint="eastAsia" w:ascii="宋体" w:hAnsi="宋体" w:cs="宋体"/>
                <w:color w:val="000000"/>
              </w:rPr>
              <w:t>mm*</w:t>
            </w:r>
            <w:r>
              <w:rPr>
                <w:rFonts w:ascii="宋体" w:hAnsi="宋体" w:cs="宋体"/>
                <w:color w:val="000000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mm（长度*直径）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CCCCCC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PH</w:t>
            </w:r>
            <w:r>
              <w:rPr>
                <w:rFonts w:hint="eastAsia" w:ascii="宋体" w:hAnsi="宋体" w:cs="宋体"/>
                <w:color w:val="000000"/>
              </w:rPr>
              <w:t>适用范围</w:t>
            </w:r>
          </w:p>
        </w:tc>
        <w:tc>
          <w:tcPr>
            <w:tcW w:w="4678" w:type="dxa"/>
            <w:shd w:val="clear" w:color="auto" w:fill="CCCCCC"/>
            <w:vAlign w:val="top"/>
          </w:tcPr>
          <w:p>
            <w:pPr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0-9 pH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干扰离子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OH¯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rPr>
          <w:rFonts w:hint="eastAsia"/>
        </w:rPr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注:探头缆线长度默认是5米</w:t>
      </w:r>
    </w:p>
    <w:p>
      <w:pPr>
        <w:pStyle w:val="3"/>
      </w:pPr>
      <w:r>
        <w:rPr>
          <w:rFonts w:hint="eastAsia"/>
        </w:rPr>
        <w:t>产品使用拓扑图</w:t>
      </w:r>
    </w:p>
    <w:p>
      <w:pPr>
        <w:ind w:firstLine="576"/>
        <w:rPr>
          <w:rFonts w:hint="eastAsia"/>
        </w:rPr>
      </w:pPr>
      <w:r>
        <w:rPr>
          <w:rFonts w:hint="eastAsia"/>
        </w:rPr>
        <w:t>典型的水溶液控制系统如下图所示，包括以控制盒为核心的一套整体系统，其中控制盒连接</w:t>
      </w:r>
      <w:r>
        <w:rPr>
          <w:rFonts w:hint="eastAsia"/>
          <w:lang w:eastAsia="zh-CN"/>
        </w:rPr>
        <w:t>氟离子</w:t>
      </w:r>
      <w:r>
        <w:rPr>
          <w:rFonts w:hint="eastAsia"/>
        </w:rPr>
        <w:t>探头，并将输出采集处理显示出来，同时设备可以输出RS-</w:t>
      </w:r>
      <w:r>
        <w:t>485</w:t>
      </w:r>
      <w:r>
        <w:rPr>
          <w:rFonts w:hint="eastAsia"/>
        </w:rPr>
        <w:t>信号或者模拟量信号给电脑、PLC、单片机等，同时后端的继电器可以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继电器可做多种控制及报警用，可以控制泵或阀等设备。</w:t>
      </w:r>
    </w:p>
    <w:p>
      <w:pPr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3609975" cy="1932940"/>
            <wp:effectExtent l="0" t="0" r="9525" b="10160"/>
            <wp:docPr id="3" name="图片 4" descr="C:\Users\Administrator\Desktop\说明书\氟离子.jpg氟离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C:\Users\Administrator\Desktop\说明书\氟离子.jpg氟离子"/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b/>
          <w:bCs/>
        </w:rPr>
      </w:pPr>
      <w:r>
        <w:rPr>
          <w:rFonts w:hint="eastAsia"/>
        </w:rPr>
        <w:t>硬件连接</w:t>
      </w:r>
    </w:p>
    <w:p>
      <w:pPr>
        <w:pStyle w:val="3"/>
        <w:rPr>
          <w:rFonts w:hint="eastAsia"/>
        </w:rPr>
      </w:pPr>
      <w:bookmarkStart w:id="1" w:name="_Toc486519419"/>
      <w:r>
        <w:rPr>
          <w:rFonts w:hint="eastAsia"/>
        </w:rPr>
        <w:t>设备安装前检查</w:t>
      </w:r>
      <w:bookmarkEnd w:id="1"/>
    </w:p>
    <w:p>
      <w:pPr>
        <w:pStyle w:val="4"/>
      </w:pPr>
      <w:r>
        <w:t>安装设备前请检查设备清单：</w:t>
      </w:r>
    </w:p>
    <w:tbl>
      <w:tblPr>
        <w:tblStyle w:val="9"/>
        <w:tblW w:w="3654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5"/>
        <w:gridCol w:w="164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名称</w:t>
            </w:r>
          </w:p>
        </w:tc>
        <w:tc>
          <w:tcPr>
            <w:tcW w:w="164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液晶仪表控制盒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hAnsi="Cambr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电导率探头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12V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防水电源</w:t>
            </w:r>
          </w:p>
        </w:tc>
        <w:tc>
          <w:tcPr>
            <w:tcW w:w="1649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USB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转</w:t>
            </w:r>
            <w:r>
              <w:rPr>
                <w:b/>
                <w:bCs/>
                <w:color w:val="000000"/>
                <w:szCs w:val="24"/>
              </w:rPr>
              <w:t>485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设备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保修卡</w:t>
            </w:r>
            <w:r>
              <w:rPr>
                <w:rFonts w:hint="eastAsia" w:hAnsi="Cambria"/>
                <w:b/>
                <w:bCs/>
                <w:color w:val="000000"/>
                <w:szCs w:val="24"/>
              </w:rPr>
              <w:t>/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合格证</w:t>
            </w:r>
          </w:p>
        </w:tc>
        <w:tc>
          <w:tcPr>
            <w:tcW w:w="1649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份</w:t>
            </w:r>
          </w:p>
        </w:tc>
      </w:tr>
    </w:tbl>
    <w:p>
      <w:pPr>
        <w:pStyle w:val="3"/>
        <w:rPr>
          <w:rFonts w:hint="eastAsia" w:eastAsia="宋体"/>
        </w:rPr>
      </w:pPr>
      <w:r>
        <w:rPr>
          <w:rFonts w:hint="eastAsia" w:eastAsia="宋体"/>
        </w:rPr>
        <w:t>接口说明</w:t>
      </w:r>
      <w:r>
        <w:rPr>
          <w:rFonts w:hint="eastAsia"/>
        </w:rPr>
        <w:t>（首要功能）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在仪表的背面留有1</w:t>
      </w:r>
      <w:r>
        <w:rPr>
          <w:rFonts w:ascii="宋体" w:hAnsi="宋体" w:cs="宋体"/>
          <w:szCs w:val="24"/>
        </w:rPr>
        <w:t>4</w:t>
      </w:r>
      <w:r>
        <w:rPr>
          <w:rFonts w:hint="eastAsia" w:ascii="宋体" w:hAnsi="宋体" w:cs="宋体"/>
          <w:szCs w:val="24"/>
        </w:rPr>
        <w:t>个接线端子，在每个端子旁边有印字表示这个端子是几号端子，接线端子具有不同的功能，具体功能如下表所示</w:t>
      </w:r>
    </w:p>
    <w:p>
      <w:pPr>
        <w:rPr>
          <w:rFonts w:hint="eastAsia" w:ascii="宋体" w:hAnsi="宋体" w:eastAsia="宋体" w:cs="宋体"/>
          <w:szCs w:val="24"/>
          <w:lang w:eastAsia="zh-CN"/>
        </w:rPr>
      </w:pPr>
      <w:r>
        <w:rPr>
          <w:rFonts w:hint="eastAsia" w:ascii="宋体" w:hAnsi="宋体" w:eastAsia="宋体" w:cs="宋体"/>
          <w:szCs w:val="24"/>
          <w:lang w:eastAsia="zh-CN"/>
        </w:rPr>
        <w:drawing>
          <wp:inline distT="0" distB="0" distL="114300" distR="114300">
            <wp:extent cx="4209415" cy="1762125"/>
            <wp:effectExtent l="0" t="0" r="635" b="9525"/>
            <wp:docPr id="33" name="图片 33" descr="水溶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水溶液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端子首要功能：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首要功能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t>继电器</w:t>
            </w:r>
            <w:r>
              <w:rPr>
                <w:rFonts w:hint="eastAsia"/>
              </w:rPr>
              <w:t>1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继电器1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电极输入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电极公共端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模拟量输出正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485</w:t>
            </w:r>
            <w:r>
              <w:t>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85-B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ind w:firstLine="578"/>
        <w:jc w:val="left"/>
      </w:pPr>
      <w:r>
        <w:rPr>
          <w:rFonts w:hint="eastAsia"/>
        </w:rPr>
        <w:t>使用时，探头线上会有标签标示，请按照标签标示，</w:t>
      </w:r>
      <w:r>
        <w:rPr>
          <w:rFonts w:hint="eastAsia"/>
          <w:u w:val="single"/>
        </w:rPr>
        <w:t>将温补线接入1</w:t>
      </w:r>
      <w:r>
        <w:rPr>
          <w:u w:val="single"/>
        </w:rPr>
        <w:t>2</w:t>
      </w:r>
      <w:r>
        <w:rPr>
          <w:rFonts w:hint="eastAsia"/>
          <w:u w:val="single"/>
        </w:rPr>
        <w:t>与1</w:t>
      </w:r>
      <w:r>
        <w:rPr>
          <w:u w:val="single"/>
        </w:rPr>
        <w:t>4</w:t>
      </w:r>
      <w:r>
        <w:rPr>
          <w:rFonts w:hint="eastAsia"/>
          <w:u w:val="single"/>
        </w:rPr>
        <w:t>端子</w:t>
      </w:r>
      <w:r>
        <w:rPr>
          <w:rFonts w:hint="eastAsia"/>
        </w:rPr>
        <w:t>（不分极性），同时</w:t>
      </w:r>
      <w:r>
        <w:rPr>
          <w:rFonts w:hint="eastAsia"/>
          <w:u w:val="single"/>
        </w:rPr>
        <w:t>将电极正接入到6号端子，电极负接入到7号端子</w:t>
      </w:r>
      <w:r>
        <w:rPr>
          <w:rFonts w:hint="eastAsia"/>
        </w:rPr>
        <w:t>，电极接线带有极性，所以请不要接反，如有屏蔽线，只需要将屏蔽线连接到1</w:t>
      </w:r>
      <w:r>
        <w:t>4</w:t>
      </w:r>
      <w:r>
        <w:rPr>
          <w:rFonts w:hint="eastAsia"/>
        </w:rPr>
        <w:t>端子即可。</w:t>
      </w:r>
    </w:p>
    <w:p>
      <w:pPr>
        <w:ind w:firstLine="578"/>
        <w:jc w:val="left"/>
      </w:pPr>
      <w:r>
        <w:rPr>
          <w:rFonts w:hint="eastAsia"/>
        </w:rPr>
        <w:t>请注意不要接错线序，错误的接线会导致设备烧毁。请不要将带电品靠近信号端子，可能引起故障。</w:t>
      </w:r>
    </w:p>
    <w:p>
      <w:pPr>
        <w:pStyle w:val="3"/>
      </w:pPr>
      <w:r>
        <w:rPr>
          <w:rFonts w:hint="eastAsia"/>
        </w:rPr>
        <w:t>接口功能（第二功能）</w:t>
      </w:r>
    </w:p>
    <w:p>
      <w:pPr>
        <w:ind w:firstLine="576"/>
        <w:rPr>
          <w:rFonts w:hint="eastAsia"/>
        </w:rPr>
      </w:pPr>
      <w:r>
        <w:rPr>
          <w:rFonts w:hint="eastAsia"/>
        </w:rPr>
        <w:t>由于控制盒用途广泛，功能多种多样，因此部分接口存在第二功能定义，请注意第二功能是特定情况的选装，如果您选购的产品没有第二功能接口，您可以略过此章节。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</w:t>
      </w:r>
      <w:r>
        <w:rPr>
          <w:rFonts w:hint="eastAsia" w:ascii="宋体" w:hAnsi="宋体" w:cs="宋体"/>
          <w:szCs w:val="24"/>
        </w:rPr>
        <w:t>第二</w:t>
      </w:r>
      <w:r>
        <w:rPr>
          <w:rFonts w:ascii="宋体" w:hAnsi="宋体" w:cs="宋体"/>
          <w:szCs w:val="24"/>
        </w:rPr>
        <w:t>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第二功能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电极输入2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模拟量输出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电极公共端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控制盒安装</w:t>
      </w:r>
    </w:p>
    <w:p>
      <w:pPr>
        <w:ind w:firstLine="574" w:firstLineChars="231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控制盒式传感器的安装方式为嵌入式安装方式，产品尺寸如下图所示。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both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both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变送器正面尺寸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inline distT="0" distB="0" distL="114300" distR="114300">
            <wp:extent cx="2428875" cy="2284095"/>
            <wp:effectExtent l="0" t="0" r="9525" b="1905"/>
            <wp:docPr id="5" name="图片 6" descr="C:\Users\Administrator\Desktop\说明书\氟离子3.jpg氟离子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C:\Users\Administrator\Desktop\说明书\氟离子3.jpg氟离子3"/>
                    <pic:cNvPicPr>
                      <a:picLocks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变送器侧面尺寸</w:t>
      </w: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inline distT="0" distB="0" distL="114300" distR="114300">
            <wp:extent cx="3362325" cy="2168525"/>
            <wp:effectExtent l="0" t="0" r="9525" b="3175"/>
            <wp:docPr id="6" name="图片 7" descr="配图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配图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400" w:lineRule="exact"/>
        <w:ind w:firstLine="458" w:firstLineChars="200"/>
        <w:jc w:val="left"/>
        <w:rPr>
          <w:rFonts w:ascii="宋体" w:hAnsi="宋体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安装时</w:t>
      </w:r>
      <w:r>
        <w:rPr>
          <w:rFonts w:hint="eastAsia" w:ascii="宋体" w:hAnsi="宋体"/>
          <w:sz w:val="22"/>
          <w:szCs w:val="22"/>
        </w:rPr>
        <w:t>在仪表柜或安装面板上开出一个矩形切口，如下图所示。将仪表插入仪表柜，并用背面使用仪器的安装架固定住即可完成安装。</w:t>
      </w:r>
    </w:p>
    <w:p>
      <w:pPr>
        <w:autoSpaceDE w:val="0"/>
        <w:autoSpaceDN w:val="0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1246505</wp:posOffset>
            </wp:positionH>
            <wp:positionV relativeFrom="paragraph">
              <wp:posOffset>85725</wp:posOffset>
            </wp:positionV>
            <wp:extent cx="2025015" cy="1782445"/>
            <wp:effectExtent l="0" t="0" r="13335" b="8255"/>
            <wp:wrapTopAndBottom/>
            <wp:docPr id="7" name="图片 8" descr="配图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配图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782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cs="宋体"/>
          <w:color w:val="000000"/>
          <w:kern w:val="0"/>
          <w:sz w:val="22"/>
          <w:szCs w:val="22"/>
        </w:rPr>
        <w:tab/>
      </w:r>
    </w:p>
    <w:p>
      <w:pPr>
        <w:ind w:firstLine="498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4"/>
        </w:rPr>
        <w:t>本仪表是盘装式。请安装在室内，避开风雨和太阳直射。为了防止本仪表内部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上升，请安装在通风良好的地方。安装本仪表时请不要左右倾斜，尽量水平安装。</w:t>
      </w:r>
    </w:p>
    <w:p>
      <w:pPr>
        <w:ind w:firstLine="498" w:firstLineChars="200"/>
        <w:rPr>
          <w:rFonts w:hint="eastAsia" w:ascii="宋体" w:hAnsi="宋体" w:cs="宋体"/>
          <w:b/>
          <w:szCs w:val="24"/>
          <w:u w:val="single"/>
        </w:rPr>
      </w:pPr>
      <w:r>
        <w:rPr>
          <w:rFonts w:ascii="宋体" w:hAnsi="宋体"/>
          <w:b/>
        </w:rPr>
        <w:tab/>
      </w:r>
      <w:r>
        <w:rPr>
          <w:rFonts w:hint="eastAsia" w:ascii="宋体" w:hAnsi="宋体" w:cs="宋体"/>
          <w:b/>
          <w:szCs w:val="24"/>
          <w:u w:val="single"/>
        </w:rPr>
        <w:t>特别注意：此仪表功能以检测与变送功能为主，非专门用于控制的仪表，本仪表配有继电器开关输出，一般用于报警提示为主，若用户将此功能用于参与回路控制，若仪表的故障可能导致重大事故或损坏其它设备，必需设置紧急停止电路和保护回路相辅，否则造成的后果，本公司概不负责。</w:t>
      </w:r>
    </w:p>
    <w:p>
      <w:pPr>
        <w:pStyle w:val="3"/>
      </w:pPr>
      <w:r>
        <w:rPr>
          <w:rFonts w:hint="eastAsia"/>
        </w:rPr>
        <w:t>电极安装</w:t>
      </w:r>
    </w:p>
    <w:p>
      <w:pPr>
        <w:pStyle w:val="4"/>
      </w:pPr>
      <w:r>
        <w:rPr>
          <w:rFonts w:hint="eastAsia"/>
        </w:rPr>
        <w:t>电极是非常精密的组件，必须使用正确的安装方式，错误的安装方式会导致电极损坏或者不可逆的受损。电极采用管道安装</w:t>
      </w:r>
      <w:r>
        <w:t>.</w:t>
      </w:r>
      <w:r>
        <w:rPr>
          <w:rFonts w:hint="eastAsia"/>
        </w:rPr>
        <w:t>浸入式</w:t>
      </w:r>
      <w:r>
        <w:t>.</w:t>
      </w:r>
      <w:r>
        <w:rPr>
          <w:rFonts w:hint="eastAsia"/>
        </w:rPr>
        <w:t>法兰安装均可。</w:t>
      </w:r>
    </w:p>
    <w:p>
      <w:pPr>
        <w:pStyle w:val="4"/>
        <w:rPr>
          <w:rFonts w:hint="eastAsia"/>
        </w:rPr>
      </w:pPr>
      <w:r>
        <w:drawing>
          <wp:inline distT="0" distB="0" distL="114300" distR="114300">
            <wp:extent cx="3955415" cy="2420620"/>
            <wp:effectExtent l="0" t="0" r="6985" b="1778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请不要把电极直接投入水中，应选择电极安装支架或流通杯固定。安装前请务必使用生料带（3/4螺纹处）做好防水封闭工作，避免水进入电极中，造成电极电缆线短路。</w:t>
      </w:r>
    </w:p>
    <w:p>
      <w:pPr>
        <w:pStyle w:val="4"/>
        <w:rPr>
          <w:rFonts w:hint="eastAsia"/>
        </w:rPr>
      </w:pPr>
      <w:r>
        <w:rPr>
          <w:rFonts w:hint="eastAsia"/>
        </w:rPr>
        <w:t>停水期间，要确保电极浸泡在被测液中或戴上内装保护液的保护帽，冬季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低长期停水要加防冻装置或收回室内加水存放。否则会缩短使用寿命。</w:t>
      </w:r>
    </w:p>
    <w:p>
      <w:pPr>
        <w:jc w:val="left"/>
        <w:rPr>
          <w:rFonts w:hint="eastAsia" w:ascii="宋体" w:hAnsi="宋体" w:cs="宋体"/>
          <w:szCs w:val="24"/>
        </w:rPr>
      </w:pPr>
    </w:p>
    <w:p>
      <w:pPr>
        <w:pStyle w:val="2"/>
      </w:pPr>
      <w:r>
        <w:rPr>
          <w:rFonts w:hint="eastAsia"/>
        </w:rPr>
        <w:t>仪表功能与使用</w:t>
      </w:r>
    </w:p>
    <w:p>
      <w:pPr>
        <w:pStyle w:val="3"/>
        <w:rPr>
          <w:rFonts w:hint="eastAsia"/>
        </w:rPr>
      </w:pPr>
      <w:r>
        <w:rPr>
          <w:rFonts w:hint="eastAsia"/>
        </w:rPr>
        <w:t>产品主界面与按键</w:t>
      </w:r>
    </w:p>
    <w:p>
      <w:pPr>
        <w:ind w:firstLine="498"/>
        <w:rPr>
          <w:rFonts w:hint="eastAsia"/>
        </w:rPr>
      </w:pPr>
      <w:r>
        <w:rPr>
          <w:rFonts w:hint="eastAsia"/>
        </w:rPr>
        <w:t>第一行显示的是当前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与模拟量电流，</w:t>
      </w:r>
    </w:p>
    <w:p>
      <w:pPr>
        <w:rPr>
          <w:rFonts w:hint="eastAsia"/>
        </w:rPr>
      </w:pPr>
    </w:p>
    <w:p>
      <w:pPr>
        <w:jc w:val="both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2247265</wp:posOffset>
            </wp:positionH>
            <wp:positionV relativeFrom="paragraph">
              <wp:posOffset>83820</wp:posOffset>
            </wp:positionV>
            <wp:extent cx="1943100" cy="1962150"/>
            <wp:effectExtent l="0" t="0" r="0" b="0"/>
            <wp:wrapTight wrapText="bothSides">
              <wp:wrapPolygon>
                <wp:start x="0" y="0"/>
                <wp:lineTo x="0" y="21390"/>
                <wp:lineTo x="21388" y="21390"/>
                <wp:lineTo x="21388" y="0"/>
                <wp:lineTo x="0" y="0"/>
              </wp:wrapPolygon>
            </wp:wrapTight>
            <wp:docPr id="8" name="图片 9" descr="C:\Users\Administrator\Desktop\说明书\氟离子2.jpg氟离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C:\Users\Administrator\Desktop\说明书\氟离子2.jpg氟离子2"/>
                    <pic:cNvPicPr>
                      <a:picLocks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107950</wp:posOffset>
            </wp:positionV>
            <wp:extent cx="1901190" cy="1882775"/>
            <wp:effectExtent l="0" t="0" r="3810" b="3175"/>
            <wp:wrapThrough wrapText="bothSides">
              <wp:wrapPolygon>
                <wp:start x="0" y="0"/>
                <wp:lineTo x="0" y="21418"/>
                <wp:lineTo x="21427" y="21418"/>
                <wp:lineTo x="21427" y="0"/>
                <wp:lineTo x="0" y="0"/>
              </wp:wrapPolygon>
            </wp:wrapThrough>
            <wp:docPr id="9" name="图片 10" descr="C:\Users\Administrator\Desktop\说明书\氟离子1.jpg氟离子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C:\Users\Administrator\Desktop\说明书\氟离子1.jpg氟离子1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9"/>
        <w:tblW w:w="6883" w:type="dxa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19"/>
        <w:gridCol w:w="478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标识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按键名</w:t>
            </w:r>
          </w:p>
        </w:tc>
        <w:tc>
          <w:tcPr>
            <w:tcW w:w="4784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功能描述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MENU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菜单键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“监控界面”下按下进入菜单</w:t>
            </w:r>
          </w:p>
          <w:p>
            <w:pPr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“菜单界面”下按下退出菜单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↑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向上键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“设置状态”下修改相关数值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↓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向下键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/>
                <w:color w:val="000000"/>
                <w:szCs w:val="24"/>
              </w:rPr>
              <w:t>“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设置状态</w:t>
            </w:r>
            <w:r>
              <w:rPr>
                <w:rFonts w:ascii="宋体" w:hAnsi="宋体" w:cs="宋体"/>
                <w:color w:val="000000"/>
                <w:szCs w:val="24"/>
              </w:rPr>
              <w:t>”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“监控界面”下锁定数据显示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“菜单界面”下进入子菜单或确认修改</w:t>
            </w:r>
          </w:p>
        </w:tc>
      </w:tr>
    </w:tbl>
    <w:p>
      <w:pPr>
        <w:ind w:firstLine="53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设置菜单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2174240</wp:posOffset>
            </wp:positionH>
            <wp:positionV relativeFrom="paragraph">
              <wp:posOffset>53340</wp:posOffset>
            </wp:positionV>
            <wp:extent cx="1917065" cy="1891030"/>
            <wp:effectExtent l="0" t="0" r="6985" b="13970"/>
            <wp:wrapSquare wrapText="bothSides"/>
            <wp:docPr id="10" name="图片 11" descr="配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配图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17065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正确输入密码后，再按【确认】键，进入“菜单”界面，</w:t>
      </w: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ind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26035</wp:posOffset>
            </wp:positionV>
            <wp:extent cx="1913255" cy="1887220"/>
            <wp:effectExtent l="0" t="0" r="10795" b="17780"/>
            <wp:wrapSquare wrapText="bothSides"/>
            <wp:docPr id="11" name="图片 12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 descr="配图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“系统设置”：包括 蜂鸣器和背光的设置、密码修改及出厂设置。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“信号设置”： 包括信号一、信号二 ；信号包括：电极类型和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“设备标定”包括</w:t>
      </w: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标定、</w:t>
      </w: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修改、ORP标定、ORP修改、EC标定、EC修改。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“远程设置”包括RS485和电流变送 ；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“报警设置”包括</w:t>
      </w: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高低报警、ORP高低报警以及EC高低报警。</w:t>
      </w:r>
    </w:p>
    <w:p>
      <w:pPr>
        <w:ind w:firstLine="498" w:firstLineChars="200"/>
        <w:jc w:val="left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szCs w:val="24"/>
        </w:rPr>
        <w:t>“信息查询”包括软硬件版本。</w:t>
      </w: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pStyle w:val="5"/>
        <w:spacing w:before="2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系统设置</w:t>
      </w:r>
    </w:p>
    <w:p>
      <w:pPr>
        <w:ind w:left="420"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60960</wp:posOffset>
            </wp:positionV>
            <wp:extent cx="1748790" cy="1725930"/>
            <wp:effectExtent l="0" t="0" r="3810" b="7620"/>
            <wp:wrapSquare wrapText="bothSides"/>
            <wp:docPr id="12" name="图片 13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配图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“蜂鸣器设置”:设置报警时蜂鸣器的开关。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“背光设置”:可以设置背景亮度和亮屏时间。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“密码修改”:可以开启或关闭密码以及修改密码。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“出厂设置”是否恢复出厂之前的设置</w:t>
      </w:r>
    </w:p>
    <w:p>
      <w:pPr>
        <w:pStyle w:val="5"/>
        <w:spacing w:before="2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信号设置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33655</wp:posOffset>
            </wp:positionV>
            <wp:extent cx="1881505" cy="1857375"/>
            <wp:effectExtent l="0" t="0" r="4445" b="9525"/>
            <wp:wrapSquare wrapText="bothSides"/>
            <wp:docPr id="13" name="图片 14" descr="配图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配图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电极类型:设置电极的类型，</w:t>
      </w: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电极和电导率电极两种类型。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补偿:设置自动温补或者手动温补，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范围-</w:t>
      </w:r>
      <w:r>
        <w:rPr>
          <w:rFonts w:hint="eastAsia" w:ascii="宋体" w:hAnsi="宋体" w:cs="宋体"/>
          <w:szCs w:val="24"/>
          <w:lang w:val="en-US" w:eastAsia="zh-CN"/>
        </w:rPr>
        <w:t>1</w:t>
      </w:r>
      <w:r>
        <w:rPr>
          <w:rFonts w:hint="eastAsia" w:ascii="宋体" w:hAnsi="宋体" w:cs="宋体"/>
          <w:szCs w:val="24"/>
        </w:rPr>
        <w:t>0-80℃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pStyle w:val="5"/>
        <w:spacing w:before="2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在线标定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766445</wp:posOffset>
            </wp:positionV>
            <wp:extent cx="1733550" cy="1714500"/>
            <wp:effectExtent l="0" t="0" r="0" b="0"/>
            <wp:wrapSquare wrapText="bothSides"/>
            <wp:docPr id="14" name="图片 15" descr="C:\Users\Administrator\Desktop\111\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" descr="C:\Users\Administrator\Desktop\111\图片1.jpg图片1"/>
                    <pic:cNvPicPr>
                      <a:picLocks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标定:进入</w:t>
      </w: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标定画面后，先将</w:t>
      </w: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电极放入4.00</w:t>
      </w: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标准溶液内，静置片刻，待示数稳定后，按下【确认键】，再将</w:t>
      </w: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电极放入6.86</w:t>
      </w: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标准溶液内，静置片刻，待示数稳定后，按下【确认键】，最后将</w:t>
      </w: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电极放入9.18</w:t>
      </w: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ab/>
      </w:r>
      <w:r>
        <w:rPr>
          <w:rFonts w:hint="eastAsia" w:ascii="宋体" w:hAnsi="宋体" w:cs="宋体"/>
          <w:szCs w:val="24"/>
        </w:rPr>
        <w:t>标准溶液内，静置片刻，待示数稳定后，按下【确认键】，显示标定成功后，</w:t>
      </w: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标定过程结束。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修正:可以将测量到的</w:t>
      </w: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进行修正。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pStyle w:val="5"/>
        <w:spacing w:before="2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远传设置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74295</wp:posOffset>
            </wp:positionV>
            <wp:extent cx="1703705" cy="1680845"/>
            <wp:effectExtent l="0" t="0" r="10795" b="14605"/>
            <wp:wrapSquare wrapText="bothSides"/>
            <wp:docPr id="15" name="图片 16" descr="配图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 descr="配图1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“远程设置”：包含485和模拟量两种通讯方式。 RS485:设置485通讯的地址和波特率。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电流变送:设置4-20mA输出的4mA对应值和20mA对应值。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pStyle w:val="5"/>
        <w:spacing w:before="2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 xml:space="preserve">报警设置    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65405</wp:posOffset>
            </wp:positionV>
            <wp:extent cx="2038350" cy="2008505"/>
            <wp:effectExtent l="0" t="0" r="0" b="10795"/>
            <wp:wrapSquare wrapText="bothSides"/>
            <wp:docPr id="16" name="图片 17" descr="C:\Users\Administrator\Desktop\111\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C:\Users\Administrator\Desktop\111\图片3.jpg图片3"/>
                    <pic:cNvPicPr>
                      <a:picLocks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高报:当测量值大于高报吸合值时，高报继电器吸合，当测量值小于高报断开值时，高报继电器断开。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氟离子</w:t>
      </w:r>
      <w:r>
        <w:rPr>
          <w:rFonts w:hint="eastAsia" w:ascii="宋体" w:hAnsi="宋体" w:cs="宋体"/>
          <w:szCs w:val="24"/>
        </w:rPr>
        <w:t>低报:当测量值小于低报吸合值时，低报继电器吸合，当测量值大于低报断开值时，低报继电器断开。</w:t>
      </w:r>
    </w:p>
    <w:p>
      <w:pPr>
        <w:ind w:firstLine="618" w:firstLineChars="200"/>
        <w:rPr>
          <w:rFonts w:hint="eastAsia" w:ascii="黑体" w:hAnsi="黑体" w:eastAsia="黑体" w:cs="黑体"/>
          <w:sz w:val="30"/>
          <w:szCs w:val="30"/>
        </w:rPr>
      </w:pPr>
    </w:p>
    <w:p>
      <w:pPr>
        <w:pStyle w:val="5"/>
        <w:spacing w:before="20"/>
        <w:rPr>
          <w:rFonts w:hint="eastAsia"/>
          <w:szCs w:val="22"/>
        </w:rPr>
      </w:pPr>
      <w:r>
        <w:rPr>
          <w:rFonts w:hint="eastAsia"/>
          <w:szCs w:val="22"/>
        </w:rPr>
        <w:t>信息查询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87630</wp:posOffset>
            </wp:positionV>
            <wp:extent cx="2139315" cy="2110105"/>
            <wp:effectExtent l="0" t="0" r="13335" b="4445"/>
            <wp:wrapSquare wrapText="bothSides"/>
            <wp:docPr id="17" name="图片 18" descr="配图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 descr="配图1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版本信息:查询当前的硬软件版本，可追溯性强。</w:t>
      </w:r>
    </w:p>
    <w:p>
      <w:pPr>
        <w:rPr>
          <w:rFonts w:hint="eastAsia" w:ascii="宋体" w:hAnsi="宋体" w:cs="宋体"/>
          <w:b/>
          <w:bCs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bookmarkEnd w:id="0"/>
    <w:p>
      <w:pPr>
        <w:pStyle w:val="2"/>
        <w:rPr>
          <w:rFonts w:hint="eastAsia"/>
        </w:rPr>
      </w:pPr>
      <w:bookmarkStart w:id="2" w:name="_Toc488485902"/>
      <w:r>
        <w:rPr>
          <w:rFonts w:hint="eastAsia"/>
        </w:rPr>
        <w:t>4</w:t>
      </w:r>
      <w:r>
        <w:t>85</w:t>
      </w:r>
      <w:r>
        <w:rPr>
          <w:rFonts w:hint="eastAsia"/>
        </w:rPr>
        <w:t>接口通信协议</w:t>
      </w:r>
      <w:bookmarkEnd w:id="2"/>
    </w:p>
    <w:p>
      <w:pPr>
        <w:pStyle w:val="3"/>
        <w:spacing w:before="20" w:after="20"/>
        <w:rPr>
          <w:rFonts w:hint="eastAsia"/>
          <w:spacing w:val="-1"/>
        </w:rPr>
      </w:pPr>
      <w:bookmarkStart w:id="3" w:name="_Toc488485903"/>
      <w:r>
        <w:rPr>
          <w:spacing w:val="-1"/>
        </w:rPr>
        <w:t>通</w:t>
      </w:r>
      <w:r>
        <w:rPr>
          <w:rFonts w:hint="eastAsia"/>
          <w:spacing w:val="-1"/>
        </w:rPr>
        <w:t>讯</w:t>
      </w:r>
      <w:r>
        <w:rPr>
          <w:spacing w:val="-1"/>
        </w:rPr>
        <w:t>基本参数</w:t>
      </w:r>
      <w:bookmarkEnd w:id="3"/>
    </w:p>
    <w:tbl>
      <w:tblPr>
        <w:tblStyle w:val="9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spacing w:line="382" w:lineRule="exact"/>
      </w:pPr>
      <w:bookmarkStart w:id="4" w:name="_Toc488485904"/>
      <w:r>
        <w:rPr>
          <w:spacing w:val="-1"/>
        </w:rPr>
        <w:t>数据帧格式定义</w:t>
      </w:r>
      <w:bookmarkEnd w:id="4"/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采用 Modbus-RTU 通询规约，格式如下：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初始结构&gt;=4字节的时间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地址码= 1字节</w:t>
      </w:r>
    </w:p>
    <w:p>
      <w:pPr>
        <w:pStyle w:val="4"/>
        <w:spacing w:line="320" w:lineRule="exact"/>
      </w:pPr>
      <w:r>
        <w:rPr>
          <w:rFonts w:hint="eastAsia"/>
        </w:rPr>
        <w:t>功能码= 1字节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数据区= N字节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错误校验= 16位 CRC 码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结束结构&gt;=4字节的时间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数据区：数据区是具体通询数区，注意 16bits 数据高字节在前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CRC 码：二字节的校验码。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6"/>
        <w:spacing w:after="0" w:line="320" w:lineRule="exact"/>
        <w:ind w:firstLine="498"/>
        <w:rPr>
          <w:rFonts w:eastAsia="Times New Roman"/>
          <w:sz w:val="21"/>
          <w:szCs w:val="21"/>
        </w:rPr>
      </w:pPr>
      <w:r>
        <w:rPr>
          <w:rFonts w:hint="eastAsia"/>
          <w:lang w:eastAsia="zh-CN"/>
        </w:rPr>
        <w:t>应答帧</w:t>
      </w:r>
    </w:p>
    <w:tbl>
      <w:tblPr>
        <w:tblStyle w:val="9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89"/>
              <w:ind w:left="81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8"/>
              <w:ind w:left="11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8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89"/>
              <w:ind w:left="23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寄存器</w:t>
      </w:r>
      <w:r>
        <w:t>地址</w:t>
      </w:r>
    </w:p>
    <w:tbl>
      <w:tblPr>
        <w:tblStyle w:val="9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PLC组态地址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(单位0.1℃)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</w:t>
            </w:r>
            <w: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  <w:r>
              <w:t>3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氟离子</w:t>
            </w:r>
            <w:r>
              <w:rPr>
                <w:rFonts w:hint="eastAsia"/>
              </w:rPr>
              <w:t>值（单位0</w:t>
            </w:r>
            <w:r>
              <w:t>.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ppm</w:t>
            </w:r>
            <w:r>
              <w:rPr>
                <w:rFonts w:hint="eastAsia"/>
              </w:rPr>
              <w:t>）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40101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波特率(2400/4800/9600)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spacing w:before="20" w:after="20"/>
        <w:rPr>
          <w:rFonts w:hint="eastAsia"/>
        </w:rPr>
      </w:pPr>
      <w:bookmarkStart w:id="5" w:name="_Toc488485906"/>
      <w:r>
        <w:t>通</w:t>
      </w:r>
      <w:r>
        <w:rPr>
          <w:rFonts w:hint="eastAsia"/>
        </w:rPr>
        <w:t>讯</w:t>
      </w:r>
      <w:r>
        <w:t>协议示例以及解释</w:t>
      </w:r>
      <w:bookmarkEnd w:id="5"/>
    </w:p>
    <w:p>
      <w:pPr>
        <w:pStyle w:val="5"/>
        <w:spacing w:before="20"/>
        <w:rPr>
          <w:rFonts w:hint="eastAsia"/>
        </w:rPr>
      </w:pPr>
      <w:bookmarkStart w:id="6" w:name="_Toc3715"/>
      <w:r>
        <w:rPr>
          <w:rFonts w:hint="eastAsia"/>
        </w:rPr>
        <w:tab/>
      </w: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氟离子</w:t>
      </w:r>
      <w:r>
        <w:rPr>
          <w:rFonts w:hint="eastAsia"/>
        </w:rPr>
        <w:t>值</w:t>
      </w:r>
      <w:bookmarkEnd w:id="6"/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应答帧(例如读到</w:t>
      </w:r>
      <w:r>
        <w:rPr>
          <w:rFonts w:hint="eastAsia"/>
          <w:lang w:eastAsia="zh-CN"/>
        </w:rPr>
        <w:t>氟离子</w:t>
      </w:r>
      <w:r>
        <w:rPr>
          <w:rFonts w:hint="eastAsia"/>
        </w:rPr>
        <w:t>值为</w:t>
      </w:r>
      <w:r>
        <w:t>18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  <w:r>
        <w:rPr>
          <w:rFonts w:hint="eastAsia"/>
        </w:rPr>
        <w:t>)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057"/>
        <w:gridCol w:w="1059"/>
        <w:gridCol w:w="1324"/>
        <w:gridCol w:w="926"/>
        <w:gridCol w:w="9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105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05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324" w:type="dxa"/>
            <w:vAlign w:val="center"/>
          </w:tcPr>
          <w:p>
            <w:pPr>
              <w:ind w:left="1" w:hanging="1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氟离子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92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2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105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05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13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 0xBD</w:t>
            </w:r>
          </w:p>
        </w:tc>
        <w:tc>
          <w:tcPr>
            <w:tcW w:w="92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0x78</w:t>
            </w:r>
          </w:p>
        </w:tc>
        <w:tc>
          <w:tcPr>
            <w:tcW w:w="92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0x35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氟离子</w:t>
      </w:r>
      <w:r>
        <w:rPr>
          <w:rFonts w:hint="eastAsia"/>
        </w:rPr>
        <w:t xml:space="preserve">： </w:t>
      </w:r>
    </w:p>
    <w:p>
      <w:pPr>
        <w:pStyle w:val="4"/>
        <w:spacing w:line="320" w:lineRule="exact"/>
        <w:rPr>
          <w:rFonts w:hint="eastAsia" w:eastAsia="宋体"/>
          <w:lang w:val="en-US" w:eastAsia="zh-CN"/>
        </w:rPr>
      </w:pPr>
      <w:r>
        <w:rPr>
          <w:rFonts w:hint="eastAsia"/>
        </w:rPr>
        <w:t>00BD H(十六进制)=189=&gt;</w:t>
      </w:r>
      <w:r>
        <w:rPr>
          <w:rFonts w:hint="eastAsia"/>
          <w:lang w:eastAsia="zh-CN"/>
        </w:rPr>
        <w:t>氟离子</w:t>
      </w:r>
      <w:r>
        <w:rPr>
          <w:rFonts w:hint="eastAsia"/>
        </w:rPr>
        <w:t>=1</w:t>
      </w:r>
      <w:r>
        <w:t>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993"/>
        <w:gridCol w:w="1196"/>
        <w:gridCol w:w="1196"/>
        <w:gridCol w:w="1371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9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19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196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37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11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9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19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2</w:t>
            </w:r>
          </w:p>
        </w:tc>
        <w:tc>
          <w:tcPr>
            <w:tcW w:w="1196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0xAF</w:t>
            </w:r>
          </w:p>
        </w:tc>
        <w:tc>
          <w:tcPr>
            <w:tcW w:w="137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11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00AF H(十六进制)=175=&gt;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=17.5℃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、</w:t>
      </w:r>
      <w:r>
        <w:rPr>
          <w:rFonts w:hint="eastAsia"/>
          <w:lang w:eastAsia="zh-CN"/>
        </w:rPr>
        <w:t>氟离子</w:t>
      </w:r>
      <w:r>
        <w:rPr>
          <w:rFonts w:hint="eastAsia"/>
        </w:rPr>
        <w:t>浓度值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95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0xCB</w:t>
            </w:r>
          </w:p>
        </w:tc>
      </w:tr>
    </w:tbl>
    <w:p>
      <w:pPr>
        <w:pStyle w:val="4"/>
        <w:ind w:left="0" w:leftChars="0" w:firstLine="0" w:firstLineChars="0"/>
      </w:pPr>
    </w:p>
    <w:p>
      <w:pPr>
        <w:pStyle w:val="4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829"/>
        <w:gridCol w:w="997"/>
        <w:gridCol w:w="997"/>
        <w:gridCol w:w="1144"/>
        <w:gridCol w:w="1144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2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99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997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氟离子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2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99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4</w:t>
            </w:r>
          </w:p>
        </w:tc>
        <w:tc>
          <w:tcPr>
            <w:tcW w:w="997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01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1</w:t>
            </w:r>
            <w:r>
              <w:rPr>
                <w:rFonts w:hint="eastAsia"/>
              </w:rPr>
              <w:t>b</w:t>
            </w:r>
          </w:p>
        </w:tc>
        <w:tc>
          <w:tcPr>
            <w:tcW w:w="1144" w:type="dxa"/>
            <w:vAlign w:val="top"/>
          </w:tcPr>
          <w:p>
            <w:r>
              <w:t>0</w:t>
            </w:r>
            <w:r>
              <w:rPr>
                <w:rFonts w:hint="eastAsia"/>
              </w:rPr>
              <w:t>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28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9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011B H(十六进制)=283=&gt;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=28.3℃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氟离子</w:t>
      </w:r>
      <w:r>
        <w:rPr>
          <w:rFonts w:hint="eastAsia"/>
        </w:rPr>
        <w:t>：</w:t>
      </w:r>
    </w:p>
    <w:p>
      <w:pPr>
        <w:pStyle w:val="4"/>
        <w:spacing w:line="320" w:lineRule="exact"/>
        <w:rPr>
          <w:rFonts w:hint="default" w:eastAsia="宋体"/>
          <w:lang w:val="en-US" w:eastAsia="zh-CN"/>
        </w:rPr>
      </w:pPr>
      <w:r>
        <w:rPr>
          <w:rFonts w:hint="eastAsia"/>
        </w:rPr>
        <w:t>0028 H(十六进制)=40=&gt;</w:t>
      </w:r>
      <w:r>
        <w:rPr>
          <w:rFonts w:hint="eastAsia"/>
          <w:lang w:eastAsia="zh-CN"/>
        </w:rPr>
        <w:t>氟离子</w:t>
      </w:r>
      <w:r>
        <w:rPr>
          <w:rFonts w:hint="eastAsia"/>
        </w:rPr>
        <w:t>=</w:t>
      </w:r>
      <w:r>
        <w:rPr>
          <w:rFonts w:hint="eastAsia"/>
          <w:lang w:val="en-US" w:eastAsia="zh-CN"/>
        </w:rPr>
        <w:t>4ppm</w:t>
      </w:r>
    </w:p>
    <w:p>
      <w:pPr>
        <w:pStyle w:val="4"/>
      </w:pPr>
    </w:p>
    <w:p>
      <w:pPr>
        <w:pStyle w:val="2"/>
        <w:spacing w:after="40"/>
        <w:rPr>
          <w:rFonts w:hint="eastAsia"/>
          <w:szCs w:val="36"/>
        </w:rPr>
      </w:pPr>
      <w:r>
        <w:rPr>
          <w:rFonts w:hint="eastAsia"/>
          <w:szCs w:val="36"/>
        </w:rPr>
        <w:t>模拟量接线说明</w:t>
      </w:r>
    </w:p>
    <w:p>
      <w:pPr>
        <w:pStyle w:val="4"/>
        <w:rPr>
          <w:rFonts w:hint="eastAsia"/>
        </w:rPr>
      </w:pPr>
      <w:r>
        <w:rPr>
          <w:rFonts w:hint="eastAsia"/>
        </w:rPr>
        <w:t>模拟量型传感器接线简单，只需要将线与设备的指定端口连接即可。设备支持3/4线制接线方式。</w:t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典型四线制接线方式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如下图所示为电流型传感器接线方式，将传感器的电源线(棕线与黑线)接入电源；传感器的黄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色线为信号正接入采集设备的信号正，电流流向为传感器到采集设备；传感器的蓝色线为信号正接入电流采集设备的信号负，电流流向为采集设备到传感器；</w:t>
      </w:r>
    </w:p>
    <w:p>
      <w:pPr>
        <w:jc w:val="center"/>
        <w:rPr>
          <w:rFonts w:hint="eastAsia"/>
        </w:rPr>
      </w:pPr>
      <w:r>
        <w:drawing>
          <wp:inline distT="0" distB="0" distL="114300" distR="114300">
            <wp:extent cx="3571240" cy="2202815"/>
            <wp:effectExtent l="0" t="0" r="10160" b="6985"/>
            <wp:docPr id="19" name="图片 4" descr="C:\Users\Administrator\Desktop\111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C:\Users\Administrator\Desktop\111\1.jpg1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240" cy="2202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如下图所示为电压型传感器接线方式，将传感器的电源线(棕线与黑线)接入电源；传感器的黄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线的电压为输出电压；传感器的蓝色线为信号正接入电压采集设备的信号负，蓝线的电压为参考电压，与黑线电压一致为0V。</w:t>
      </w:r>
    </w:p>
    <w:p>
      <w:pPr>
        <w:jc w:val="center"/>
        <w:rPr>
          <w:rFonts w:hint="eastAsia" w:ascii="宋体" w:hAnsi="宋体" w:cs="宋体"/>
          <w:sz w:val="20"/>
          <w:lang w:val="de-AT"/>
        </w:rPr>
      </w:pPr>
      <w:r>
        <w:rPr>
          <w:rFonts w:ascii="宋体" w:hAnsi="宋体" w:cs="宋体"/>
          <w:sz w:val="20"/>
          <w:lang w:val="de-AT"/>
        </w:rPr>
        <w:drawing>
          <wp:inline distT="0" distB="0" distL="114300" distR="114300">
            <wp:extent cx="3799205" cy="2330450"/>
            <wp:effectExtent l="0" t="0" r="10795" b="12700"/>
            <wp:docPr id="20" name="图片 5" descr="C:\Users\Administrator\Desktop\111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C:\Users\Administrator\Desktop\111\2.jpg2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33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典型三线制接线方式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对于典型的三线制接线，相较于四线制接线方式，省略蓝线即可，在传感器中蓝线与黑线在传感器中短路，因此可以省略蓝线。</w:t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对于三线制电流接线方式，将传感器的电源线(棕线与黑线)接入电源后，只需要将传感器的黄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色线为信号正接入电流采集设备的信号正即可。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488690" cy="2139315"/>
            <wp:effectExtent l="0" t="0" r="16510" b="13335"/>
            <wp:docPr id="21" name="图片 6" descr="C:\Users\Administrator\Desktop\111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C:\Users\Administrator\Desktop\111\3.jpg3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869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对于三线制电压接线方式，将传感器的电源线(棕线与黑线)接入电源后，只需要将传感器的黄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色线为信号正接入电压采集设备的信号正即可。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737610" cy="2291715"/>
            <wp:effectExtent l="0" t="0" r="15240" b="13335"/>
            <wp:docPr id="22" name="图片 7" descr="C:\Users\Administrator\Desktop\111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 descr="C:\Users\Administrator\Desktop\111\4.jpg4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40"/>
        <w:rPr>
          <w:szCs w:val="36"/>
        </w:rPr>
      </w:pPr>
      <w:bookmarkStart w:id="7" w:name="_Toc475449644"/>
      <w:bookmarkStart w:id="8" w:name="_Toc13912"/>
      <w:bookmarkStart w:id="9" w:name="_Toc475103064"/>
      <w:r>
        <w:rPr>
          <w:rFonts w:hint="eastAsia"/>
          <w:szCs w:val="36"/>
        </w:rPr>
        <w:t>模拟量参数含义</w:t>
      </w:r>
      <w:bookmarkEnd w:id="7"/>
      <w:bookmarkEnd w:id="8"/>
      <w:bookmarkEnd w:id="9"/>
      <w:r>
        <w:rPr>
          <w:rFonts w:hint="eastAsia"/>
          <w:szCs w:val="36"/>
        </w:rPr>
        <w:t>与换算</w:t>
      </w:r>
    </w:p>
    <w:p>
      <w:pPr>
        <w:pStyle w:val="3"/>
        <w:spacing w:before="20" w:after="20"/>
        <w:ind w:left="578" w:hanging="578"/>
        <w:rPr>
          <w:rFonts w:hint="eastAsia"/>
        </w:rPr>
      </w:pPr>
      <w:bookmarkStart w:id="10" w:name="_Toc475449645"/>
      <w:bookmarkStart w:id="11" w:name="_Toc475103065"/>
      <w:bookmarkStart w:id="12" w:name="_Toc4010"/>
      <w:r>
        <w:rPr>
          <w:rFonts w:hint="eastAsia"/>
        </w:rPr>
        <w:t>模拟量4-20mA电流</w:t>
      </w:r>
      <w:bookmarkEnd w:id="10"/>
      <w:bookmarkEnd w:id="11"/>
      <w:r>
        <w:rPr>
          <w:rFonts w:hint="eastAsia"/>
        </w:rPr>
        <w:t>输出</w:t>
      </w:r>
      <w:bookmarkEnd w:id="12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3"/>
        <w:gridCol w:w="332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氟离子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4mA</w:t>
            </w:r>
          </w:p>
        </w:tc>
        <w:tc>
          <w:tcPr>
            <w:tcW w:w="3320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.06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20mA</w:t>
            </w:r>
          </w:p>
        </w:tc>
        <w:tc>
          <w:tcPr>
            <w:tcW w:w="3320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氟离子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=(I</w:t>
      </w:r>
      <w:r>
        <w:rPr>
          <w:rFonts w:hint="eastAsia"/>
          <w:vertAlign w:val="subscript"/>
        </w:rPr>
        <w:t>(电流)</w:t>
      </w:r>
      <w:r>
        <w:rPr>
          <w:rFonts w:hint="eastAsia"/>
        </w:rPr>
        <w:t>-4mA)*</w:t>
      </w:r>
      <w:r>
        <w:rPr>
          <w:rFonts w:hint="eastAsia"/>
          <w:lang w:val="en-US" w:eastAsia="zh-CN"/>
        </w:rPr>
        <w:t>124.99625+0.06</w:t>
      </w:r>
    </w:p>
    <w:p>
      <w:r>
        <w:rPr>
          <w:rFonts w:hint="eastAsia"/>
        </w:rPr>
        <w:tab/>
      </w:r>
      <w:r>
        <w:rPr>
          <w:rFonts w:hint="eastAsia"/>
        </w:rPr>
        <w:t>其中I的单位为mA。以4mA代表0</w:t>
      </w:r>
      <w:r>
        <w:rPr>
          <w:rFonts w:hint="eastAsia"/>
          <w:lang w:val="en-US" w:eastAsia="zh-CN"/>
        </w:rPr>
        <w:t>.06ppm</w:t>
      </w:r>
      <w:r>
        <w:rPr>
          <w:rFonts w:hint="eastAsia"/>
        </w:rPr>
        <w:t>，20mA代表最大量程线性换算即可。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3" w:name="_Toc4713"/>
      <w:bookmarkStart w:id="14" w:name="_Toc475449646"/>
      <w:bookmarkStart w:id="15" w:name="_Toc475103066"/>
      <w:r>
        <w:rPr>
          <w:rFonts w:hint="eastAsia"/>
        </w:rPr>
        <w:t>模拟量0-10V电压输出</w:t>
      </w:r>
      <w:bookmarkEnd w:id="13"/>
      <w:bookmarkEnd w:id="14"/>
      <w:bookmarkEnd w:id="15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氟离子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.06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氟离子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0.199994+0.06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.06ppm</w:t>
      </w:r>
      <w:r>
        <w:rPr>
          <w:rFonts w:hint="eastAsia"/>
        </w:rPr>
        <w:t>，10V代表最大量程线性换算即可。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6" w:name="_Toc7803"/>
      <w:bookmarkStart w:id="17" w:name="_Toc475103067"/>
      <w:bookmarkStart w:id="18" w:name="_Toc475449647"/>
      <w:r>
        <w:rPr>
          <w:rFonts w:hint="eastAsia"/>
        </w:rPr>
        <w:t>模拟量0-5V电压输出</w:t>
      </w:r>
      <w:bookmarkEnd w:id="16"/>
      <w:bookmarkEnd w:id="17"/>
      <w:bookmarkEnd w:id="18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氟离子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.06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氟离子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0.399988+0.06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.06ppm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V代表最大量程线性换算即可。</w:t>
      </w:r>
    </w:p>
    <w:p>
      <w:pPr>
        <w:rPr>
          <w:rFonts w:hint="eastAsia"/>
        </w:rPr>
      </w:pPr>
    </w:p>
    <w:p/>
    <w:sectPr>
      <w:headerReference r:id="rId10" w:type="first"/>
      <w:footerReference r:id="rId11" w:type="first"/>
      <w:headerReference r:id="rId8" w:type="default"/>
      <w:headerReference r:id="rId9" w:type="even"/>
      <w:endnotePr>
        <w:numFmt w:val="decimal"/>
      </w:endnotePr>
      <w:pgSz w:w="8391" w:h="11907"/>
      <w:pgMar w:top="720" w:right="720" w:bottom="720" w:left="720" w:header="851" w:footer="851" w:gutter="284"/>
      <w:pgNumType w:start="1"/>
      <w:cols w:space="720" w:num="1"/>
      <w:titlePg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4" name="矩形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2" o:spid="_x0000_s1026" o:spt="1" style="position:absolute;left:0pt;margin-left:0pt;margin-top:0.15pt;height:14.4pt;width:42pt;mso-position-horizontal-relative:margin;z-index:-251656192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PrJc4F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9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-635</wp:posOffset>
              </wp:positionV>
              <wp:extent cx="533400" cy="182880"/>
              <wp:effectExtent l="0" t="0" r="0" b="7620"/>
              <wp:wrapNone/>
              <wp:docPr id="25" name="矩形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3" o:spid="_x0000_s1026" o:spt="1" style="position:absolute;left:0pt;margin-top:-0.05pt;height:14.4pt;width:42pt;mso-position-horizontal:right;mso-position-horizontal-relative:margin;z-index:-251657216;v-text-anchor:middle;mso-width-relative:page;mso-height-relative:page;" fillcolor="#00B0F0" filled="t" stroked="f" coordsize="21600,21600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A9kHJ3TAAAABAEAAA8AAAAAAAAAAQAgAAAAIgAAAGRycy9kb3ducmV2&#10;LnhtbFBLAQIUABQAAAAIAIdO4kC5AtKjcwIAANoEAAAOAAAAAAAAAAEAIAAAACIBAABkcnMvZTJv&#10;RG9jLnhtbFBLBQYAAAAABgAGAFkBAAAHBgAAAAA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10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ascii="微软雅黑" w:hAnsi="微软雅黑" w:eastAsia="微软雅黑"/>
        <w:b/>
        <w:color w:val="00B0F0"/>
        <w:sz w:val="20"/>
      </w:rPr>
      <w:t xml:space="preserve">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</w:p>
  <w:p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7" name="矩形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8" o:spid="_x0000_s1026" o:spt="1" style="position:absolute;left:0pt;margin-left:0pt;margin-top:0.15pt;height:14.4pt;width:42pt;mso-position-horizontal-relative:margin;z-index:-251658240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E8mnrN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both"/>
    </w:pPr>
    <w:r>
      <w:rPr>
        <w:sz w:val="4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left;mso-position-horizontal-relative:margin;mso-wrap-style:none;z-index:25166336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Cla1a7o&#10;AQAAyQ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b/>
        <w:sz w:val="48"/>
        <w:szCs w:val="48"/>
      </w:rPr>
      <w:drawing>
        <wp:inline distT="0" distB="0" distL="114300" distR="114300">
          <wp:extent cx="866775" cy="285750"/>
          <wp:effectExtent l="0" t="0" r="9525" b="0"/>
          <wp:docPr id="29" name="图片 1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1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inline distT="0" distB="0" distL="114300" distR="114300">
          <wp:extent cx="866775" cy="285750"/>
          <wp:effectExtent l="0" t="0" r="9525" b="0"/>
          <wp:docPr id="30" name="图片 2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2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single" w:color="auto" w:sz="6" w:space="10"/>
      </w:pBdr>
      <w:ind w:right="1440"/>
      <w:jc w:val="left"/>
    </w:pPr>
    <w:r>
      <w:rPr>
        <w:sz w:val="4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580390</wp:posOffset>
          </wp:positionH>
          <wp:positionV relativeFrom="page">
            <wp:posOffset>540385</wp:posOffset>
          </wp:positionV>
          <wp:extent cx="2343150" cy="266065"/>
          <wp:effectExtent l="0" t="0" r="0" b="635"/>
          <wp:wrapNone/>
          <wp:docPr id="28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4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Duw2tTo&#10;AQAAyg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hint="eastAsia"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2165985</wp:posOffset>
              </wp:positionH>
              <wp:positionV relativeFrom="paragraph">
                <wp:posOffset>229870</wp:posOffset>
              </wp:positionV>
              <wp:extent cx="1965325" cy="0"/>
              <wp:effectExtent l="0" t="0" r="0" b="0"/>
              <wp:wrapNone/>
              <wp:docPr id="32" name="直接连接符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5158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B0F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170.55pt;margin-top:18.1pt;height:0pt;width:154.75pt;z-index:251665408;mso-width-relative:page;mso-height-relative:page;" filled="f" stroked="t" coordsize="21600,21600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Hgiz8vVAAAACQEAAA8AAAAAAAAAAQAgAAAAIgAAAGRycy9kb3ducmV2LnhtbFBLAQIUABQAAAAI&#10;AIdO4kCFijv88AEAAMEDAAAOAAAAAAAAAAEAIAAAACQBAABkcnMvZTJvRG9jLnhtbFBLBQYAAAAA&#10;BgAGAFkBAACGBQAAAAA=&#10;">
              <v:fill on="f" focussize="0,0"/>
              <v:stroke weight="0.5pt" color="#00B0F0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558800</wp:posOffset>
          </wp:positionH>
          <wp:positionV relativeFrom="page">
            <wp:posOffset>425450</wp:posOffset>
          </wp:positionV>
          <wp:extent cx="2345690" cy="269875"/>
          <wp:effectExtent l="0" t="0" r="0" b="15875"/>
          <wp:wrapNone/>
          <wp:docPr id="26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5690" cy="2698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07516"/>
    <w:rsid w:val="0B4A3781"/>
    <w:rsid w:val="0C967ACF"/>
    <w:rsid w:val="1134292D"/>
    <w:rsid w:val="11937797"/>
    <w:rsid w:val="1C44387F"/>
    <w:rsid w:val="23291D3C"/>
    <w:rsid w:val="2472652B"/>
    <w:rsid w:val="32B62875"/>
    <w:rsid w:val="34E735EC"/>
    <w:rsid w:val="361D501E"/>
    <w:rsid w:val="3D2B0A30"/>
    <w:rsid w:val="3F077C01"/>
    <w:rsid w:val="45B87319"/>
    <w:rsid w:val="473F6DB7"/>
    <w:rsid w:val="49560CEA"/>
    <w:rsid w:val="4B732E15"/>
    <w:rsid w:val="4EA07516"/>
    <w:rsid w:val="4FE05634"/>
    <w:rsid w:val="54CA39C5"/>
    <w:rsid w:val="55721E25"/>
    <w:rsid w:val="5C56050E"/>
    <w:rsid w:val="5CA00D4B"/>
    <w:rsid w:val="607937E3"/>
    <w:rsid w:val="690C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ind w:left="0" w:firstLine="0"/>
      <w:outlineLvl w:val="0"/>
    </w:pPr>
    <w:rPr>
      <w:sz w:val="36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1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header" Target="header3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7" Type="http://schemas.openxmlformats.org/officeDocument/2006/relationships/fontTable" Target="fontTable.xml"/><Relationship Id="rId36" Type="http://schemas.openxmlformats.org/officeDocument/2006/relationships/numbering" Target="numbering.xml"/><Relationship Id="rId35" Type="http://schemas.openxmlformats.org/officeDocument/2006/relationships/customXml" Target="../customXml/item1.xml"/><Relationship Id="rId34" Type="http://schemas.openxmlformats.org/officeDocument/2006/relationships/image" Target="media/image25.jpeg"/><Relationship Id="rId33" Type="http://schemas.openxmlformats.org/officeDocument/2006/relationships/image" Target="media/image24.jpeg"/><Relationship Id="rId32" Type="http://schemas.openxmlformats.org/officeDocument/2006/relationships/image" Target="media/image23.jpeg"/><Relationship Id="rId31" Type="http://schemas.openxmlformats.org/officeDocument/2006/relationships/image" Target="media/image22.jpeg"/><Relationship Id="rId30" Type="http://schemas.openxmlformats.org/officeDocument/2006/relationships/image" Target="media/image21.jpeg"/><Relationship Id="rId3" Type="http://schemas.openxmlformats.org/officeDocument/2006/relationships/header" Target="header1.xml"/><Relationship Id="rId29" Type="http://schemas.openxmlformats.org/officeDocument/2006/relationships/image" Target="media/image20.jpeg"/><Relationship Id="rId28" Type="http://schemas.openxmlformats.org/officeDocument/2006/relationships/image" Target="media/image19.png"/><Relationship Id="rId27" Type="http://schemas.openxmlformats.org/officeDocument/2006/relationships/image" Target="media/image18.jpe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jpeg"/><Relationship Id="rId23" Type="http://schemas.openxmlformats.org/officeDocument/2006/relationships/image" Target="media/image14.png"/><Relationship Id="rId22" Type="http://schemas.openxmlformats.org/officeDocument/2006/relationships/image" Target="media/image13.jpeg"/><Relationship Id="rId21" Type="http://schemas.openxmlformats.org/officeDocument/2006/relationships/image" Target="media/image12.jpe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jpeg"/><Relationship Id="rId16" Type="http://schemas.openxmlformats.org/officeDocument/2006/relationships/image" Target="media/image7.jpeg"/><Relationship Id="rId15" Type="http://schemas.openxmlformats.org/officeDocument/2006/relationships/image" Target="media/image6.jpeg"/><Relationship Id="rId14" Type="http://schemas.openxmlformats.org/officeDocument/2006/relationships/image" Target="media/image5.png"/><Relationship Id="rId13" Type="http://schemas.openxmlformats.org/officeDocument/2006/relationships/image" Target="media/image4.jpeg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2019-03-27T01:35:00Z</dcterms:created>
  <dc:creator>Admin</dc:creator>
  <cp:lastModifiedBy>王凡</cp:lastModifiedBy>
  <dcterms:modified xsi:type="dcterms:W3CDTF">2021-05-31T07:12:36Z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