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left="577"/>
        <w:rPr>
          <w:rFonts w:ascii="Times New Roman"/>
          <w:sz w:val="20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68580</wp:posOffset>
            </wp:positionH>
            <wp:positionV relativeFrom="page">
              <wp:posOffset>467360</wp:posOffset>
            </wp:positionV>
            <wp:extent cx="7343775" cy="9916160"/>
            <wp:effectExtent l="0" t="0" r="9525" b="889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43775" cy="991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4"/>
        <w:rPr>
          <w:rFonts w:ascii="Times New Roman"/>
          <w:sz w:val="20"/>
        </w:rPr>
      </w:pPr>
    </w:p>
    <w:p>
      <w:pPr>
        <w:pStyle w:val="4"/>
        <w:rPr>
          <w:rFonts w:ascii="Times New Roman"/>
          <w:sz w:val="20"/>
        </w:rPr>
      </w:pPr>
    </w:p>
    <w:p>
      <w:pPr>
        <w:pStyle w:val="4"/>
        <w:rPr>
          <w:rFonts w:ascii="Times New Roman"/>
          <w:sz w:val="20"/>
        </w:rPr>
      </w:pPr>
    </w:p>
    <w:p>
      <w:pPr>
        <w:pStyle w:val="4"/>
        <w:rPr>
          <w:rFonts w:ascii="Times New Roman"/>
          <w:sz w:val="20"/>
        </w:rPr>
      </w:pPr>
    </w:p>
    <w:p>
      <w:pPr>
        <w:pStyle w:val="4"/>
        <w:rPr>
          <w:rFonts w:ascii="Times New Roman"/>
          <w:sz w:val="20"/>
        </w:rPr>
      </w:pPr>
    </w:p>
    <w:p>
      <w:pPr>
        <w:pStyle w:val="4"/>
        <w:rPr>
          <w:rFonts w:hint="eastAsia" w:ascii="宋体" w:hAnsi="宋体" w:eastAsia="宋体" w:cs="宋体"/>
          <w:b/>
          <w:bCs/>
          <w:color w:val="auto"/>
          <w:sz w:val="44"/>
          <w:szCs w:val="44"/>
        </w:rPr>
      </w:pPr>
    </w:p>
    <w:p>
      <w:pPr>
        <w:bidi w:val="0"/>
        <w:jc w:val="center"/>
        <w:rPr>
          <w:rFonts w:hint="default" w:ascii="宋体" w:hAnsi="宋体" w:eastAsia="宋体" w:cs="宋体"/>
          <w:b/>
          <w:bCs/>
          <w:color w:val="auto"/>
          <w:sz w:val="44"/>
          <w:szCs w:val="44"/>
          <w:lang w:val="en-US" w:eastAsia="zh-CN"/>
        </w:rPr>
      </w:pPr>
      <w:bookmarkStart w:id="105" w:name="_GoBack"/>
      <w:r>
        <w:rPr>
          <w:rFonts w:hint="eastAsia" w:cs="宋体"/>
          <w:b/>
          <w:bCs/>
          <w:color w:val="auto"/>
          <w:sz w:val="72"/>
          <w:szCs w:val="72"/>
          <w:lang w:val="en-US" w:eastAsia="zh-CN"/>
        </w:rPr>
        <w:t>多路</w:t>
      </w:r>
      <w:r>
        <w:rPr>
          <w:rFonts w:hint="eastAsia" w:ascii="宋体" w:hAnsi="宋体" w:eastAsia="宋体" w:cs="宋体"/>
          <w:b/>
          <w:bCs/>
          <w:color w:val="auto"/>
          <w:sz w:val="72"/>
          <w:szCs w:val="72"/>
          <w:lang w:val="en-US" w:eastAsia="zh-CN"/>
        </w:rPr>
        <w:t>连续液位检测传感器型芯片</w:t>
      </w:r>
      <w:r>
        <w:rPr>
          <w:rFonts w:hint="eastAsia" w:cs="宋体"/>
          <w:b/>
          <w:bCs/>
          <w:color w:val="auto"/>
          <w:sz w:val="72"/>
          <w:szCs w:val="72"/>
          <w:lang w:val="en-US" w:eastAsia="zh-CN"/>
        </w:rPr>
        <w:t>使用说明</w:t>
      </w:r>
    </w:p>
    <w:p>
      <w:pPr>
        <w:pStyle w:val="4"/>
        <w:spacing w:before="6"/>
        <w:rPr>
          <w:sz w:val="27"/>
        </w:rPr>
      </w:pPr>
    </w:p>
    <w:p>
      <w:pPr>
        <w:pStyle w:val="7"/>
        <w:jc w:val="right"/>
        <w:rPr>
          <w:rFonts w:hint="default" w:ascii="Times New Roman" w:hAnsi="Times New Roman" w:cs="Times New Roman"/>
          <w:b/>
          <w:bCs/>
          <w:color w:val="292929"/>
          <w:kern w:val="2"/>
          <w:sz w:val="44"/>
          <w:szCs w:val="4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292929"/>
          <w:kern w:val="2"/>
          <w:sz w:val="44"/>
          <w:szCs w:val="44"/>
          <w:lang w:val="en-US" w:eastAsia="zh-CN"/>
        </w:rPr>
        <w:t>JLLB-2AF</w:t>
      </w:r>
    </w:p>
    <w:bookmarkEnd w:id="105"/>
    <w:p>
      <w:pPr>
        <w:pStyle w:val="7"/>
        <w:jc w:val="right"/>
        <w:rPr>
          <w:rFonts w:hint="default" w:ascii="Times New Roman" w:hAnsi="Times New Roman" w:cs="Times New Roman"/>
          <w:b/>
          <w:bCs/>
          <w:color w:val="292929"/>
          <w:kern w:val="2"/>
          <w:sz w:val="44"/>
          <w:szCs w:val="44"/>
          <w:lang w:val="en-US" w:eastAsia="zh-CN"/>
        </w:rPr>
      </w:pPr>
    </w:p>
    <w:p>
      <w:pPr>
        <w:pStyle w:val="7"/>
        <w:jc w:val="right"/>
        <w:rPr>
          <w:rFonts w:hint="default" w:ascii="Times New Roman" w:hAnsi="Times New Roman" w:cs="Times New Roman"/>
          <w:b/>
          <w:bCs/>
          <w:color w:val="292929"/>
          <w:kern w:val="2"/>
          <w:sz w:val="44"/>
          <w:szCs w:val="44"/>
          <w:lang w:val="en-US" w:eastAsia="zh-CN"/>
        </w:rPr>
      </w:pPr>
    </w:p>
    <w:p>
      <w:pPr>
        <w:pStyle w:val="7"/>
        <w:jc w:val="right"/>
        <w:rPr>
          <w:rFonts w:hint="default" w:ascii="Times New Roman" w:hAnsi="Times New Roman" w:cs="Times New Roman"/>
          <w:b/>
          <w:bCs/>
          <w:color w:val="292929"/>
          <w:kern w:val="2"/>
          <w:sz w:val="44"/>
          <w:szCs w:val="4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292929"/>
          <w:kern w:val="2"/>
          <w:sz w:val="44"/>
          <w:szCs w:val="44"/>
          <w:lang w:val="en-US" w:eastAsia="zh-CN"/>
        </w:rPr>
        <w:drawing>
          <wp:inline distT="0" distB="0" distL="114300" distR="114300">
            <wp:extent cx="6567170" cy="3554730"/>
            <wp:effectExtent l="0" t="0" r="0" b="0"/>
            <wp:docPr id="9" name="图片 9" descr="7912502671_71917025670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7912502671_71917025670_2"/>
                    <pic:cNvPicPr>
                      <a:picLocks noChangeAspect="1"/>
                    </pic:cNvPicPr>
                  </pic:nvPicPr>
                  <pic:blipFill>
                    <a:blip r:embed="rId9"/>
                    <a:srcRect t="27899" b="31503"/>
                    <a:stretch>
                      <a:fillRect/>
                    </a:stretch>
                  </pic:blipFill>
                  <pic:spPr>
                    <a:xfrm>
                      <a:off x="0" y="0"/>
                      <a:ext cx="6567170" cy="355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spacing w:before="6"/>
        <w:rPr>
          <w:sz w:val="114"/>
        </w:rPr>
      </w:pPr>
    </w:p>
    <w:p>
      <w:pPr>
        <w:spacing w:before="219"/>
        <w:ind w:left="685" w:right="723" w:firstLine="0"/>
        <w:jc w:val="center"/>
        <w:rPr>
          <w:rFonts w:hint="default" w:eastAsia="宋体"/>
          <w:sz w:val="32"/>
          <w:lang w:val="en-US" w:eastAsia="zh-CN"/>
        </w:rPr>
      </w:pPr>
    </w:p>
    <w:p>
      <w:pPr>
        <w:pStyle w:val="4"/>
        <w:rPr>
          <w:sz w:val="32"/>
        </w:rPr>
      </w:pPr>
    </w:p>
    <w:p>
      <w:pPr>
        <w:pStyle w:val="4"/>
        <w:rPr>
          <w:sz w:val="32"/>
        </w:rPr>
      </w:pPr>
    </w:p>
    <w:p>
      <w:pPr>
        <w:spacing w:before="0" w:line="782" w:lineRule="exact"/>
        <w:ind w:right="723"/>
        <w:jc w:val="both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  <w:szCs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  <w:szCs w:val="24"/>
        </w:rPr>
        <w:t>本说明书版权属</w:t>
      </w:r>
      <w:r>
        <w:rPr>
          <w:rFonts w:hint="eastAsia"/>
          <w:sz w:val="24"/>
          <w:szCs w:val="24"/>
          <w:lang w:val="en-US" w:eastAsia="zh-CN"/>
        </w:rPr>
        <w:t>威海精讯畅通</w:t>
      </w:r>
      <w:r>
        <w:rPr>
          <w:sz w:val="24"/>
          <w:szCs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  <w:szCs w:val="24"/>
        </w:rPr>
      </w:pPr>
      <w:r>
        <w:rPr>
          <w:sz w:val="24"/>
          <w:szCs w:val="24"/>
        </w:rPr>
        <w:t>感谢您使用</w:t>
      </w:r>
      <w:r>
        <w:rPr>
          <w:rFonts w:hint="eastAsia"/>
          <w:sz w:val="24"/>
          <w:szCs w:val="24"/>
          <w:lang w:val="en-US" w:eastAsia="zh-CN"/>
        </w:rPr>
        <w:t>精讯畅通</w:t>
      </w:r>
      <w:r>
        <w:rPr>
          <w:sz w:val="24"/>
          <w:szCs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您所购买产品的颜色、款式及尺寸以实物为准。</w:t>
      </w:r>
    </w:p>
    <w:p>
      <w:pPr>
        <w:pStyle w:val="4"/>
        <w:rPr>
          <w:sz w:val="24"/>
          <w:szCs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  <w:szCs w:val="24"/>
        </w:rPr>
      </w:pPr>
      <w:r>
        <w:rPr>
          <w:sz w:val="24"/>
          <w:szCs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请妥善保管本说明书，以便在您日后需要时能及时查阅并获得帮助。</w:t>
      </w:r>
    </w:p>
    <w:p>
      <w:pPr>
        <w:pStyle w:val="4"/>
        <w:rPr>
          <w:sz w:val="24"/>
          <w:szCs w:val="24"/>
        </w:rPr>
      </w:pPr>
    </w:p>
    <w:p>
      <w:pPr>
        <w:pStyle w:val="4"/>
        <w:rPr>
          <w:sz w:val="24"/>
          <w:szCs w:val="24"/>
        </w:rPr>
      </w:pPr>
    </w:p>
    <w:p>
      <w:pPr>
        <w:pStyle w:val="4"/>
        <w:rPr>
          <w:sz w:val="24"/>
          <w:szCs w:val="24"/>
        </w:rPr>
      </w:pPr>
    </w:p>
    <w:p>
      <w:pPr>
        <w:pStyle w:val="4"/>
        <w:spacing w:before="4"/>
        <w:rPr>
          <w:sz w:val="24"/>
          <w:szCs w:val="24"/>
        </w:rPr>
      </w:pPr>
    </w:p>
    <w:p>
      <w:pPr>
        <w:spacing w:before="0"/>
        <w:ind w:left="6452" w:right="0" w:firstLine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威海精讯畅通</w:t>
      </w:r>
      <w:r>
        <w:rPr>
          <w:sz w:val="24"/>
          <w:szCs w:val="24"/>
        </w:rPr>
        <w:t>电子科技有限公司</w:t>
      </w:r>
    </w:p>
    <w:p>
      <w:pPr>
        <w:spacing w:after="0"/>
        <w:jc w:val="left"/>
        <w:rPr>
          <w:sz w:val="24"/>
          <w:szCs w:val="24"/>
        </w:rPr>
        <w:sectPr>
          <w:pgSz w:w="11910" w:h="16840"/>
          <w:pgMar w:top="1100" w:right="760" w:bottom="280" w:left="800" w:header="720" w:footer="720" w:gutter="0"/>
          <w:cols w:space="720" w:num="1"/>
        </w:sect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 xml:space="preserve">                                                             </w:t>
      </w:r>
      <w:r>
        <w:rPr>
          <w:rFonts w:hint="eastAsia" w:ascii="微软雅黑" w:eastAsia="微软雅黑"/>
          <w:b/>
          <w:bCs w:val="0"/>
          <w:sz w:val="28"/>
          <w:szCs w:val="28"/>
          <w:lang w:val="en-US" w:eastAsia="zh-CN"/>
        </w:rPr>
        <w:t>目录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概述...............................................................................................................................................4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特点...............................................................................................................................................4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应用...............................................................................................................................................4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管脚图示.......................................................................................................................................4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管脚描述.......................................................................................................................................4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芯片功能.......................................................................................................................................5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应用原理图...................................................................................................................................5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I2C接口.........................................................................................................................................6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PCB版图注意事项.......................................................................................................................7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额定值...........................................................................................................................................8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电气特性.......................................................................................................................................8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ESD特性.......................................................................................................................................8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封装尺寸图（SO-16）..............................................................................................................9</w:t>
      </w: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  <w:lang w:eastAsia="zh-CN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right="723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right="723"/>
        <w:jc w:val="left"/>
        <w:rPr>
          <w:rFonts w:hint="eastAsia" w:ascii="黑体" w:hAnsi="黑体" w:eastAsia="黑体" w:cs="黑体"/>
          <w:b/>
          <w:bCs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</w:rPr>
        <w:t>1. 概述</w:t>
      </w:r>
    </w:p>
    <w:p>
      <w:pPr>
        <w:spacing w:before="15"/>
        <w:ind w:right="723" w:firstLine="480" w:firstLineChars="200"/>
        <w:jc w:val="left"/>
        <w:rPr>
          <w:rFonts w:hint="eastAsia" w:ascii="宋体" w:hAnsi="宋体" w:eastAsia="宋体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本产品</w:t>
      </w:r>
      <w:r>
        <w:rPr>
          <w:rFonts w:hint="eastAsia" w:ascii="宋体" w:hAnsi="宋体" w:eastAsia="宋体" w:cs="Helvetica"/>
          <w:color w:val="000000"/>
          <w:kern w:val="0"/>
          <w:sz w:val="24"/>
          <w:szCs w:val="24"/>
          <w:lang w:val="en-US" w:eastAsia="zh-CN" w:bidi="ar-SA"/>
        </w:rPr>
        <w:t>是一个多通道电容传感芯片。它可以作为一个连续液位检测的控制器。通过检测液位不同高度时，不同通道的采样值变化，计算出相应的液位高度。</w:t>
      </w:r>
    </w:p>
    <w:p>
      <w:pPr>
        <w:spacing w:before="15"/>
        <w:ind w:right="723" w:firstLine="480" w:firstLineChars="200"/>
        <w:jc w:val="left"/>
        <w:rPr>
          <w:rFonts w:hint="eastAsia" w:ascii="宋体" w:hAnsi="宋体" w:eastAsia="宋体" w:cs="Helvetica"/>
          <w:color w:val="000000"/>
          <w:kern w:val="0"/>
          <w:sz w:val="24"/>
          <w:szCs w:val="24"/>
          <w:lang w:val="en-US" w:eastAsia="zh-CN" w:bidi="ar-SA"/>
        </w:rPr>
      </w:pPr>
    </w:p>
    <w:p>
      <w:pPr>
        <w:numPr>
          <w:ilvl w:val="0"/>
          <w:numId w:val="2"/>
        </w:numPr>
        <w:spacing w:before="15"/>
        <w:ind w:right="723"/>
        <w:jc w:val="left"/>
        <w:rPr>
          <w:rFonts w:hint="eastAsia" w:ascii="黑体" w:hAnsi="黑体" w:eastAsia="黑体" w:cs="黑体"/>
          <w:b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</w:rPr>
        <w:t>特点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可以控制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2</w:t>
      </w: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个采样通道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系统低成本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PWM</w:t>
      </w: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输出和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I2C</w:t>
      </w: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接口同时有效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降低系统复杂度提高稳定性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嵌入的共模干扰去除电路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 xml:space="preserve">RoHS </w:t>
      </w: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兼容的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SOP-16</w:t>
      </w: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封装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</w:p>
    <w:p>
      <w:pPr>
        <w:numPr>
          <w:ilvl w:val="0"/>
          <w:numId w:val="2"/>
        </w:numPr>
        <w:spacing w:before="15"/>
        <w:ind w:right="723"/>
        <w:jc w:val="left"/>
        <w:rPr>
          <w:rFonts w:hint="default" w:ascii="黑体" w:hAnsi="黑体" w:eastAsia="黑体" w:cs="黑体"/>
          <w:b/>
          <w:bCs w:val="0"/>
          <w:sz w:val="28"/>
          <w:szCs w:val="28"/>
          <w:lang w:val="en-US" w:eastAsia="zh-CN"/>
        </w:rPr>
      </w:pPr>
      <w:r>
        <w:rPr>
          <w:rFonts w:hint="default" w:ascii="黑体" w:hAnsi="黑体" w:eastAsia="黑体" w:cs="黑体"/>
          <w:b/>
          <w:bCs w:val="0"/>
          <w:sz w:val="28"/>
          <w:szCs w:val="28"/>
          <w:lang w:val="en-US" w:eastAsia="zh-CN"/>
        </w:rPr>
        <w:t>应用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饮水机</w:t>
      </w:r>
    </w:p>
    <w:p>
      <w:pPr>
        <w:spacing w:before="15"/>
        <w:ind w:left="480" w:leftChars="218" w:right="723" w:firstLine="0" w:firstLineChars="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咖啡机</w:t>
      </w: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br w:type="textWrapping"/>
      </w: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工业设备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家电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</w:p>
    <w:p>
      <w:pPr>
        <w:numPr>
          <w:ilvl w:val="0"/>
          <w:numId w:val="2"/>
        </w:numPr>
        <w:spacing w:before="15"/>
        <w:ind w:right="723"/>
        <w:jc w:val="left"/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管脚图示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center"/>
        <w:rPr>
          <w:rFonts w:hint="eastAsia" w:ascii="微软雅黑" w:eastAsia="微软雅黑"/>
          <w:b/>
          <w:bCs w:val="0"/>
          <w:sz w:val="22"/>
          <w:szCs w:val="18"/>
          <w:lang w:val="en-US" w:eastAsia="zh-CN"/>
        </w:rPr>
      </w:pPr>
      <w:r>
        <w:rPr>
          <w:rFonts w:hint="eastAsia" w:ascii="微软雅黑" w:eastAsia="微软雅黑"/>
          <w:b/>
          <w:bCs w:val="0"/>
          <w:sz w:val="22"/>
          <w:szCs w:val="18"/>
          <w:lang w:val="en-US" w:eastAsia="zh-CN"/>
        </w:rPr>
        <w:drawing>
          <wp:inline distT="0" distB="0" distL="114300" distR="114300">
            <wp:extent cx="1857375" cy="1572895"/>
            <wp:effectExtent l="0" t="0" r="9525" b="8255"/>
            <wp:docPr id="5" name="图片 5" descr="9034032534_71172882770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9034032534_71172882770_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57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center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图1</w:t>
      </w:r>
    </w:p>
    <w:p>
      <w:pPr>
        <w:numPr>
          <w:ilvl w:val="0"/>
          <w:numId w:val="2"/>
        </w:numPr>
        <w:spacing w:before="15"/>
        <w:ind w:right="723"/>
        <w:jc w:val="left"/>
        <w:rPr>
          <w:rFonts w:hint="default" w:ascii="黑体" w:hAnsi="黑体" w:eastAsia="黑体" w:cs="黑体"/>
          <w:b/>
          <w:bCs w:val="0"/>
          <w:sz w:val="28"/>
          <w:szCs w:val="28"/>
          <w:lang w:val="en-US" w:eastAsia="zh-CN"/>
        </w:rPr>
      </w:pPr>
      <w:r>
        <w:rPr>
          <w:rFonts w:hint="default" w:ascii="黑体" w:hAnsi="黑体" w:eastAsia="黑体" w:cs="黑体"/>
          <w:b/>
          <w:bCs w:val="0"/>
          <w:sz w:val="28"/>
          <w:szCs w:val="28"/>
          <w:lang w:val="en-US" w:eastAsia="zh-CN"/>
        </w:rPr>
        <w:t xml:space="preserve"> 管脚描述</w:t>
      </w:r>
    </w:p>
    <w:tbl>
      <w:tblPr>
        <w:tblStyle w:val="9"/>
        <w:tblW w:w="0" w:type="auto"/>
        <w:tblInd w:w="13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5"/>
        <w:gridCol w:w="1770"/>
        <w:gridCol w:w="2445"/>
        <w:gridCol w:w="3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引脚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输入/输出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VSS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电源负极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地参考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VREG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内部参考源输出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SEN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灵敏度电容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CX0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感应输入0（不使用时悬空）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CX1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感应输入1（不使用时悬空）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CX2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感应输入2（不使用时悬空）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CX3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感应输入3（不使用时悬空）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CX4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感应输入4（不使用时悬空）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CX5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感应输入5（不使用时悬空）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CX6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感应输入6（不使用时悬空）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CX7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感应输入7（不使用时悬空）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PWM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液位检测结果PWM输出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SCL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输入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I2C时钟输入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SDA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I2C数据输入输出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PRG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编程管脚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VCC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电源正极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供电电压输入</w:t>
            </w:r>
          </w:p>
        </w:tc>
      </w:tr>
    </w:tbl>
    <w:p>
      <w:pPr>
        <w:tabs>
          <w:tab w:val="left" w:pos="1263"/>
        </w:tabs>
        <w:bidi w:val="0"/>
        <w:jc w:val="center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表1</w:t>
      </w:r>
    </w:p>
    <w:p>
      <w:pPr>
        <w:tabs>
          <w:tab w:val="left" w:pos="1263"/>
        </w:tabs>
        <w:bidi w:val="0"/>
        <w:jc w:val="left"/>
        <w:rPr>
          <w:rFonts w:hint="eastAsia" w:ascii="Times New Roman" w:hAnsi="Times New Roman" w:cs="Times New Roman"/>
          <w:b/>
          <w:bCs/>
          <w:sz w:val="24"/>
          <w:szCs w:val="24"/>
          <w:vertAlign w:val="baseline"/>
          <w:lang w:val="en-US" w:eastAsia="zh-CN"/>
        </w:rPr>
      </w:pPr>
      <w:bookmarkStart w:id="1" w:name="_Toc25932"/>
      <w:bookmarkStart w:id="2" w:name="_Toc12445"/>
      <w:bookmarkStart w:id="3" w:name="_Toc30250"/>
      <w:bookmarkStart w:id="4" w:name="_Toc22855"/>
      <w:bookmarkStart w:id="5" w:name="_Toc20537"/>
      <w:bookmarkStart w:id="6" w:name="_Toc22901"/>
      <w:bookmarkStart w:id="7" w:name="_Toc10345"/>
      <w:bookmarkStart w:id="8" w:name="_Toc15094"/>
      <w:r>
        <w:rPr>
          <w:rFonts w:hint="eastAsia" w:ascii="Times New Roman" w:hAnsi="Times New Roman" w:cs="Times New Roman"/>
          <w:b/>
          <w:bCs/>
          <w:sz w:val="24"/>
          <w:szCs w:val="24"/>
          <w:vertAlign w:val="baseline"/>
          <w:lang w:val="en-US" w:eastAsia="zh-CN"/>
        </w:rPr>
        <w:t>SEN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此管脚电容大小为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10pf~100pf, 电容越小灵敏度越高。推荐使用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20pf。</w:t>
      </w:r>
      <w:bookmarkStart w:id="9" w:name="_Toc9232"/>
      <w:bookmarkStart w:id="10" w:name="_Toc14128"/>
      <w:bookmarkStart w:id="11" w:name="_Toc9843"/>
      <w:bookmarkStart w:id="12" w:name="_Toc10180"/>
      <w:bookmarkStart w:id="13" w:name="_Toc489"/>
      <w:bookmarkStart w:id="14" w:name="_Toc3393"/>
      <w:bookmarkStart w:id="15" w:name="_Toc18889"/>
      <w:bookmarkStart w:id="16" w:name="_Toc26754"/>
    </w:p>
    <w:p>
      <w:pPr>
        <w:tabs>
          <w:tab w:val="left" w:pos="1263"/>
        </w:tabs>
        <w:bidi w:val="0"/>
        <w:jc w:val="left"/>
        <w:rPr>
          <w:rFonts w:hint="eastAsia" w:ascii="Times New Roman" w:hAnsi="Times New Roman" w:cs="Times New Roman"/>
          <w:b/>
          <w:bCs/>
          <w:sz w:val="24"/>
          <w:szCs w:val="24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vertAlign w:val="baseline"/>
          <w:lang w:val="en-US" w:eastAsia="zh-CN"/>
        </w:rPr>
        <w:t>VREG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内部参考源输出，接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4.7nf电容。</w:t>
      </w:r>
    </w:p>
    <w:p>
      <w:pPr>
        <w:tabs>
          <w:tab w:val="left" w:pos="1263"/>
        </w:tabs>
        <w:bidi w:val="0"/>
        <w:jc w:val="left"/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</w:pPr>
      <w:bookmarkStart w:id="17" w:name="_Toc26439"/>
      <w:bookmarkStart w:id="18" w:name="_Toc2178"/>
      <w:bookmarkStart w:id="19" w:name="_Toc25833"/>
      <w:bookmarkStart w:id="20" w:name="_Toc12207"/>
      <w:bookmarkStart w:id="21" w:name="_Toc6682"/>
      <w:bookmarkStart w:id="22" w:name="_Toc27192"/>
      <w:bookmarkStart w:id="23" w:name="_Toc18229"/>
      <w:bookmarkStart w:id="24" w:name="_Toc18320"/>
      <w:r>
        <w:rPr>
          <w:rFonts w:hint="eastAsia" w:ascii="Times New Roman" w:hAnsi="Times New Roman" w:cs="Times New Roman"/>
          <w:b/>
          <w:bCs/>
          <w:sz w:val="24"/>
          <w:szCs w:val="24"/>
          <w:vertAlign w:val="baseline"/>
          <w:lang w:val="en-US" w:eastAsia="zh-CN"/>
        </w:rPr>
        <w:t>CX0~CX</w:t>
      </w:r>
      <w:bookmarkEnd w:id="17"/>
      <w:bookmarkEnd w:id="18"/>
      <w:bookmarkEnd w:id="19"/>
      <w:bookmarkEnd w:id="20"/>
      <w:bookmarkEnd w:id="21"/>
      <w:r>
        <w:rPr>
          <w:rFonts w:hint="eastAsia" w:ascii="Times New Roman" w:hAnsi="Times New Roman" w:cs="Times New Roman"/>
          <w:b/>
          <w:bCs/>
          <w:sz w:val="24"/>
          <w:szCs w:val="24"/>
          <w:vertAlign w:val="baseline"/>
          <w:lang w:val="en-US" w:eastAsia="zh-CN"/>
        </w:rPr>
        <w:t>7</w:t>
      </w:r>
      <w:bookmarkEnd w:id="22"/>
      <w:bookmarkEnd w:id="23"/>
      <w:bookmarkEnd w:id="24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感应管脚 ,串联电阻是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3KΩ。</w:t>
      </w:r>
    </w:p>
    <w:p>
      <w:pPr>
        <w:tabs>
          <w:tab w:val="left" w:pos="1263"/>
        </w:tabs>
        <w:bidi w:val="0"/>
        <w:jc w:val="left"/>
        <w:rPr>
          <w:rFonts w:hint="default" w:ascii="Times New Roman" w:hAnsi="Times New Roman" w:cs="Times New Roman"/>
          <w:sz w:val="24"/>
          <w:szCs w:val="24"/>
          <w:vertAlign w:val="baseline"/>
          <w:lang w:val="en-US" w:eastAsia="zh-CN"/>
        </w:rPr>
      </w:pPr>
      <w:bookmarkStart w:id="25" w:name="_Toc6195"/>
      <w:bookmarkStart w:id="26" w:name="_Toc3164"/>
      <w:bookmarkStart w:id="27" w:name="_Toc11722"/>
      <w:bookmarkStart w:id="28" w:name="_Toc12986"/>
      <w:bookmarkStart w:id="29" w:name="_Toc2539"/>
      <w:bookmarkStart w:id="30" w:name="_Toc11644"/>
      <w:bookmarkStart w:id="31" w:name="_Toc22485"/>
      <w:bookmarkStart w:id="32" w:name="_Toc16157"/>
      <w:r>
        <w:rPr>
          <w:rFonts w:hint="eastAsia" w:ascii="Times New Roman" w:hAnsi="Times New Roman" w:cs="Times New Roman"/>
          <w:b/>
          <w:bCs/>
          <w:sz w:val="24"/>
          <w:szCs w:val="24"/>
          <w:vertAlign w:val="baseline"/>
          <w:lang w:val="en-US" w:eastAsia="zh-CN"/>
        </w:rPr>
        <w:t>PWM</w:t>
      </w:r>
      <w:bookmarkEnd w:id="25"/>
      <w:bookmarkEnd w:id="26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bookmarkStart w:id="33" w:name="_Toc20393"/>
      <w:bookmarkStart w:id="34" w:name="_Toc11830"/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液位检测结果PWM输出端口，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PWM的占空比由低到高，表示液位由低到高。</w:t>
      </w:r>
    </w:p>
    <w:p>
      <w:pPr>
        <w:tabs>
          <w:tab w:val="left" w:pos="1263"/>
        </w:tabs>
        <w:bidi w:val="0"/>
        <w:jc w:val="left"/>
        <w:rPr>
          <w:rFonts w:hint="eastAsia" w:ascii="Times New Roman" w:hAnsi="Times New Roman" w:cs="Times New Roman"/>
          <w:b/>
          <w:bCs/>
          <w:sz w:val="24"/>
          <w:szCs w:val="24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vertAlign w:val="baseline"/>
          <w:lang w:val="en-US" w:eastAsia="zh-CN"/>
        </w:rPr>
        <w:t>SCL, SDA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宋体" w:hAnsi="宋体" w:cs="Calibri"/>
          <w:color w:val="292929"/>
          <w:sz w:val="24"/>
          <w:szCs w:val="24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SCL 是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I2C时钟输入端口。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SDA是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I2C数据输入输出端口。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 xml:space="preserve"> SDA 端口有内部弱上拉。</w:t>
      </w:r>
    </w:p>
    <w:p>
      <w:pPr>
        <w:tabs>
          <w:tab w:val="left" w:pos="1263"/>
        </w:tabs>
        <w:bidi w:val="0"/>
        <w:jc w:val="left"/>
        <w:rPr>
          <w:rFonts w:hint="default" w:ascii="Times New Roman" w:hAnsi="Times New Roman" w:cs="Times New Roman"/>
          <w:b/>
          <w:bCs/>
          <w:sz w:val="24"/>
          <w:szCs w:val="24"/>
          <w:vertAlign w:val="baseline"/>
          <w:lang w:val="en-US" w:eastAsia="zh-CN"/>
        </w:rPr>
      </w:pPr>
      <w:bookmarkStart w:id="35" w:name="_Toc6083"/>
      <w:bookmarkStart w:id="36" w:name="_Toc27868"/>
      <w:bookmarkStart w:id="37" w:name="_Toc21016"/>
      <w:r>
        <w:rPr>
          <w:rFonts w:hint="eastAsia" w:ascii="Times New Roman" w:hAnsi="Times New Roman" w:cs="Times New Roman"/>
          <w:b/>
          <w:bCs/>
          <w:sz w:val="24"/>
          <w:szCs w:val="24"/>
          <w:vertAlign w:val="baseline"/>
          <w:lang w:val="en-US" w:eastAsia="zh-CN"/>
        </w:rPr>
        <w:t>PRG</w:t>
      </w:r>
      <w:bookmarkEnd w:id="35"/>
      <w:bookmarkEnd w:id="36"/>
      <w:bookmarkEnd w:id="37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编程管脚</w:t>
      </w:r>
    </w:p>
    <w:p>
      <w:pPr>
        <w:tabs>
          <w:tab w:val="left" w:pos="1263"/>
        </w:tabs>
        <w:bidi w:val="0"/>
        <w:jc w:val="left"/>
      </w:pPr>
    </w:p>
    <w:p>
      <w:pPr>
        <w:numPr>
          <w:ilvl w:val="0"/>
          <w:numId w:val="2"/>
        </w:numPr>
        <w:spacing w:before="15"/>
        <w:ind w:right="723"/>
        <w:jc w:val="left"/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芯片功能</w:t>
      </w:r>
    </w:p>
    <w:p>
      <w:pPr>
        <w:numPr>
          <w:ilvl w:val="0"/>
          <w:numId w:val="0"/>
        </w:numPr>
        <w:tabs>
          <w:tab w:val="left" w:pos="1263"/>
        </w:tabs>
        <w:bidi w:val="0"/>
        <w:ind w:leftChars="0" w:right="0" w:rightChars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</w:t>
      </w:r>
      <w:bookmarkStart w:id="38" w:name="_Toc16271"/>
      <w:bookmarkStart w:id="39" w:name="_Toc31089"/>
      <w:bookmarkStart w:id="40" w:name="_Toc50"/>
      <w:bookmarkStart w:id="41" w:name="_Toc21306"/>
      <w:bookmarkStart w:id="42" w:name="_Toc8264"/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6.</w:t>
      </w:r>
      <w:r>
        <w:rPr>
          <w:rFonts w:hint="eastAsia" w:ascii="黑体" w:hAnsi="黑体" w:eastAsia="黑体" w:cs="黑体"/>
          <w:b/>
          <w:bCs/>
          <w:sz w:val="24"/>
          <w:szCs w:val="24"/>
        </w:rPr>
        <w:t>1 初始化时间</w:t>
      </w:r>
      <w:bookmarkEnd w:id="38"/>
      <w:bookmarkEnd w:id="39"/>
      <w:bookmarkEnd w:id="40"/>
      <w:bookmarkEnd w:id="41"/>
      <w:bookmarkEnd w:id="42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上电复位后，芯片需要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600ms进行初始化，计算感应管脚的环境电容，然后才能正常工作。</w:t>
      </w:r>
    </w:p>
    <w:p>
      <w:pPr>
        <w:pStyle w:val="3"/>
        <w:bidi w:val="0"/>
        <w:ind w:firstLine="420" w:firstLineChars="0"/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</w:pPr>
      <w:bookmarkStart w:id="43" w:name="_Toc12292"/>
      <w:bookmarkStart w:id="44" w:name="_Toc12084"/>
      <w:bookmarkStart w:id="45" w:name="_Toc6900"/>
      <w:bookmarkStart w:id="46" w:name="_Toc3033"/>
      <w:bookmarkStart w:id="47" w:name="_Toc14821"/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  <w:t>6.2 液位变化反应时间</w:t>
      </w:r>
      <w:bookmarkEnd w:id="43"/>
      <w:bookmarkEnd w:id="44"/>
      <w:bookmarkEnd w:id="45"/>
      <w:bookmarkEnd w:id="46"/>
      <w:bookmarkEnd w:id="47"/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  <w:t xml:space="preserve"> 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电容值大约每隔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4.8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ms采样一次。经过消抖处理以后，每隔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48ms得到一组液位值。</w:t>
      </w:r>
    </w:p>
    <w:p>
      <w:pPr>
        <w:pStyle w:val="3"/>
        <w:bidi w:val="0"/>
        <w:ind w:firstLine="420" w:firstLineChars="0"/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</w:pPr>
      <w:bookmarkStart w:id="48" w:name="_Toc12562"/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  <w:t>6.3 输出逻辑</w:t>
      </w:r>
      <w:bookmarkEnd w:id="48"/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  <w:t xml:space="preserve"> 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PWM输出：无液体时</w:t>
      </w:r>
      <w:r>
        <w:rPr>
          <w:rFonts w:hint="default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PWM端口为低电平，随着液位升高，</w:t>
      </w:r>
      <w:r>
        <w:rPr>
          <w:rFonts w:hint="default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PWM的占空比逐渐变大。满液位时，</w:t>
      </w:r>
      <w:r>
        <w:rPr>
          <w:rFonts w:hint="default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PWM输出高电平。</w:t>
      </w:r>
      <w:r>
        <w:rPr>
          <w:rFonts w:hint="default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PWM周期为</w:t>
      </w:r>
      <w:r>
        <w:rPr>
          <w:rFonts w:hint="default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100us，占空比变化范围是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N/</w:t>
      </w:r>
      <w:r>
        <w:rPr>
          <w:rFonts w:hint="default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256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,(0≤N≤255）。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default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2"/>
        </w:numPr>
        <w:spacing w:before="15"/>
        <w:ind w:right="723"/>
        <w:jc w:val="left"/>
        <w:rPr>
          <w:rFonts w:hint="default" w:ascii="黑体" w:hAnsi="黑体" w:eastAsia="黑体" w:cs="黑体"/>
          <w:b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应用原理图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center"/>
        <w:rPr>
          <w:rFonts w:hint="default"/>
          <w:b/>
          <w:bCs/>
          <w:lang w:val="en-US" w:eastAsia="zh-CN"/>
        </w:rPr>
      </w:pPr>
      <w:r>
        <w:drawing>
          <wp:inline distT="0" distB="0" distL="114300" distR="114300">
            <wp:extent cx="3576955" cy="2270760"/>
            <wp:effectExtent l="0" t="0" r="4445" b="15240"/>
            <wp:docPr id="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76955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center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图2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center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center"/>
        <w:rPr>
          <w:rFonts w:hint="default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2"/>
        </w:numPr>
        <w:spacing w:before="15"/>
        <w:ind w:right="723"/>
        <w:jc w:val="left"/>
        <w:rPr>
          <w:rFonts w:hint="default" w:ascii="黑体" w:hAnsi="黑体" w:eastAsia="黑体" w:cs="黑体"/>
          <w:b/>
          <w:bCs w:val="0"/>
          <w:sz w:val="28"/>
          <w:szCs w:val="28"/>
          <w:lang w:val="en-US" w:eastAsia="zh-CN"/>
        </w:rPr>
      </w:pPr>
      <w:r>
        <w:rPr>
          <w:rFonts w:hint="default" w:ascii="黑体" w:hAnsi="黑体" w:eastAsia="黑体" w:cs="黑体"/>
          <w:b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I2C接口</w:t>
      </w:r>
    </w:p>
    <w:p>
      <w:pPr>
        <w:pStyle w:val="3"/>
        <w:bidi w:val="0"/>
        <w:ind w:left="464" w:leftChars="200" w:hanging="24" w:hangingChars="10"/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</w:pPr>
      <w:bookmarkStart w:id="49" w:name="_Toc12328"/>
      <w:bookmarkStart w:id="50" w:name="_Toc6835"/>
      <w:bookmarkStart w:id="51" w:name="_Toc28839"/>
      <w:bookmarkStart w:id="52" w:name="_Toc25085"/>
      <w:bookmarkStart w:id="53" w:name="_Toc21785"/>
      <w:bookmarkStart w:id="54" w:name="_Toc19684"/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  <w:t>8.1 Start 和 Stop 信号</w:t>
      </w:r>
      <w:bookmarkEnd w:id="49"/>
      <w:bookmarkEnd w:id="50"/>
      <w:bookmarkEnd w:id="51"/>
      <w:bookmarkEnd w:id="52"/>
      <w:bookmarkEnd w:id="53"/>
      <w:bookmarkEnd w:id="54"/>
    </w:p>
    <w:p>
      <w:pPr>
        <w:ind w:firstLine="723" w:firstLineChars="300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Start 信号(S)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当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SCL是高电平时，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SDA由高到底变化，表示开始传输数据。</w:t>
      </w:r>
    </w:p>
    <w:p>
      <w:pPr>
        <w:ind w:left="780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Stop 信号(P)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当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SCL是高电平时，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SDA由低到高变化，表示结束数据传输。</w:t>
      </w:r>
    </w:p>
    <w:p>
      <w:pPr>
        <w:pStyle w:val="3"/>
        <w:bidi w:val="0"/>
        <w:ind w:left="462" w:leftChars="200" w:hanging="22" w:hangingChars="10"/>
        <w:jc w:val="center"/>
      </w:pPr>
      <w:r>
        <w:object>
          <v:shape id="_x0000_i1025" o:spt="75" alt="" type="#_x0000_t75" style="height:85.95pt;width:344.75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Visio.Drawing.11" ShapeID="_x0000_i1025" DrawAspect="Content" ObjectID="_1468075725" r:id="rId12">
            <o:LockedField>false</o:LockedField>
          </o:OLEObject>
        </w:object>
      </w:r>
      <w:bookmarkStart w:id="55" w:name="_Toc18397"/>
      <w:bookmarkStart w:id="56" w:name="_Toc23621"/>
      <w:bookmarkStart w:id="57" w:name="_Toc14310"/>
      <w:bookmarkStart w:id="58" w:name="_Toc9787"/>
      <w:bookmarkStart w:id="59" w:name="_Toc18305"/>
      <w:bookmarkStart w:id="60" w:name="_Toc19147"/>
    </w:p>
    <w:p>
      <w:pPr>
        <w:pStyle w:val="4"/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图3</w:t>
      </w:r>
    </w:p>
    <w:p>
      <w:pPr>
        <w:pStyle w:val="3"/>
        <w:bidi w:val="0"/>
        <w:ind w:left="464" w:leftChars="200" w:hanging="24" w:hangingChars="10"/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  <w:t>8.2 数据有效</w:t>
      </w:r>
      <w:bookmarkEnd w:id="55"/>
      <w:bookmarkEnd w:id="56"/>
      <w:bookmarkEnd w:id="57"/>
      <w:bookmarkEnd w:id="58"/>
      <w:bookmarkEnd w:id="59"/>
      <w:bookmarkEnd w:id="60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在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SCL为高电平期间，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SDA必须保持稳定的电平。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S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DA线上的高低电平变化只能在SCL为低电平期间。</w:t>
      </w:r>
    </w:p>
    <w:p>
      <w:pPr>
        <w:ind w:left="73" w:hanging="77" w:hangingChars="35"/>
        <w:jc w:val="center"/>
      </w:pPr>
      <w:r>
        <w:object>
          <v:shape id="_x0000_i1026" o:spt="75" alt="" type="#_x0000_t75" style="height:91.85pt;width:356.6pt;" o:ole="t" filled="f" o:preferrelative="t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Visio.Drawing.11" ShapeID="_x0000_i1026" DrawAspect="Content" ObjectID="_1468075726" r:id="rId14">
            <o:LockedField>false</o:LockedField>
          </o:OLEObject>
        </w:object>
      </w:r>
    </w:p>
    <w:p>
      <w:pPr>
        <w:ind w:left="73" w:hanging="84" w:hangingChars="35"/>
        <w:jc w:val="center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图4</w:t>
      </w:r>
    </w:p>
    <w:p>
      <w:pPr>
        <w:ind w:left="-4" w:leftChars="-2" w:firstLine="426" w:firstLineChars="212"/>
        <w:rPr>
          <w:rFonts w:hint="eastAsia" w:ascii="Arial" w:hAnsi="Arial" w:cs="Arial"/>
          <w:b/>
          <w:bCs/>
          <w:sz w:val="20"/>
          <w:szCs w:val="20"/>
        </w:rPr>
      </w:pPr>
    </w:p>
    <w:p>
      <w:pPr>
        <w:pStyle w:val="3"/>
        <w:bidi w:val="0"/>
        <w:ind w:left="464" w:leftChars="200" w:hanging="24" w:hangingChars="10"/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</w:pPr>
      <w:bookmarkStart w:id="61" w:name="_Toc27960"/>
      <w:bookmarkStart w:id="62" w:name="_Toc16277"/>
      <w:bookmarkStart w:id="63" w:name="_Toc11824"/>
      <w:bookmarkStart w:id="64" w:name="_Toc13424"/>
      <w:bookmarkStart w:id="65" w:name="_Toc17817"/>
      <w:bookmarkStart w:id="66" w:name="_Toc13415"/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  <w:t>8.3 字节格式</w:t>
      </w:r>
      <w:bookmarkEnd w:id="61"/>
      <w:bookmarkEnd w:id="62"/>
      <w:bookmarkEnd w:id="63"/>
      <w:bookmarkEnd w:id="64"/>
      <w:bookmarkEnd w:id="65"/>
      <w:bookmarkEnd w:id="66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字节由8位数据和一个应答信号组成</w:t>
      </w:r>
    </w:p>
    <w:p>
      <w:pPr>
        <w:pStyle w:val="3"/>
        <w:bidi w:val="0"/>
        <w:ind w:left="464" w:leftChars="200" w:hanging="24" w:hangingChars="10"/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</w:pPr>
      <w:bookmarkStart w:id="67" w:name="_Toc2646"/>
      <w:bookmarkStart w:id="68" w:name="_Toc22384"/>
      <w:bookmarkStart w:id="69" w:name="_Toc29663"/>
      <w:bookmarkStart w:id="70" w:name="_Toc606"/>
      <w:bookmarkStart w:id="71" w:name="_Toc32193"/>
      <w:bookmarkStart w:id="72" w:name="_Toc24045"/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  <w:t>8.4 器件地址</w:t>
      </w:r>
      <w:bookmarkEnd w:id="67"/>
      <w:bookmarkEnd w:id="68"/>
      <w:bookmarkEnd w:id="69"/>
      <w:bookmarkEnd w:id="70"/>
      <w:bookmarkEnd w:id="71"/>
      <w:bookmarkEnd w:id="72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JLLB-2AF固定唯一的器件地址是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0x40</w:t>
      </w:r>
    </w:p>
    <w:tbl>
      <w:tblPr>
        <w:tblStyle w:val="8"/>
        <w:tblpPr w:leftFromText="180" w:rightFromText="180" w:vertAnchor="text" w:horzAnchor="page" w:tblpXSpec="center" w:tblpY="145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7"/>
        <w:gridCol w:w="18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7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 xml:space="preserve"> (A[6:0])</w:t>
            </w:r>
          </w:p>
        </w:tc>
        <w:tc>
          <w:tcPr>
            <w:tcW w:w="1811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4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97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right="0"/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读命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(A[6:0]+RWB)</w:t>
            </w:r>
          </w:p>
        </w:tc>
        <w:tc>
          <w:tcPr>
            <w:tcW w:w="1811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8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7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写命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(A[6:0]+RWB)</w:t>
            </w:r>
          </w:p>
        </w:tc>
        <w:tc>
          <w:tcPr>
            <w:tcW w:w="1811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8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H</w:t>
            </w:r>
          </w:p>
        </w:tc>
      </w:tr>
    </w:tbl>
    <w:p>
      <w:pPr>
        <w:pStyle w:val="4"/>
        <w:ind w:firstLine="420" w:firstLineChars="0"/>
        <w:rPr>
          <w:rFonts w:hint="default"/>
          <w:lang w:val="en-US" w:eastAsia="zh-CN"/>
        </w:rPr>
      </w:pPr>
    </w:p>
    <w:p>
      <w:pPr>
        <w:pStyle w:val="4"/>
        <w:ind w:firstLine="420" w:firstLineChars="0"/>
        <w:rPr>
          <w:rFonts w:hint="default"/>
          <w:lang w:val="en-US" w:eastAsia="zh-CN"/>
        </w:rPr>
      </w:pPr>
    </w:p>
    <w:p>
      <w:pPr>
        <w:pStyle w:val="4"/>
        <w:jc w:val="both"/>
        <w:rPr>
          <w:rFonts w:hint="eastAsia"/>
          <w:lang w:val="en-US" w:eastAsia="zh-CN"/>
        </w:rPr>
      </w:pPr>
    </w:p>
    <w:p>
      <w:pPr>
        <w:pStyle w:val="4"/>
        <w:jc w:val="both"/>
        <w:rPr>
          <w:rFonts w:hint="eastAsia"/>
          <w:lang w:val="en-US" w:eastAsia="zh-CN"/>
        </w:rPr>
      </w:pPr>
    </w:p>
    <w:p>
      <w:pPr>
        <w:pStyle w:val="4"/>
        <w:jc w:val="both"/>
        <w:rPr>
          <w:rFonts w:hint="eastAsia"/>
          <w:lang w:val="en-US" w:eastAsia="zh-CN"/>
        </w:rPr>
      </w:pPr>
    </w:p>
    <w:p>
      <w:pPr>
        <w:pStyle w:val="4"/>
        <w:ind w:firstLine="2940" w:firstLineChars="14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表2</w:t>
      </w:r>
    </w:p>
    <w:p>
      <w:pPr>
        <w:pStyle w:val="3"/>
        <w:bidi w:val="0"/>
        <w:ind w:left="464" w:leftChars="200" w:hanging="24" w:hangingChars="10"/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</w:pPr>
      <w:bookmarkStart w:id="73" w:name="_Toc30812"/>
      <w:bookmarkStart w:id="74" w:name="_Toc26457"/>
      <w:bookmarkStart w:id="75" w:name="_Toc8444"/>
      <w:bookmarkStart w:id="76" w:name="_Toc13322"/>
      <w:bookmarkStart w:id="77" w:name="_Toc31086"/>
      <w:bookmarkStart w:id="78" w:name="_Toc15559"/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  <w:t>8.5 操作模式</w:t>
      </w:r>
      <w:bookmarkEnd w:id="73"/>
      <w:bookmarkEnd w:id="74"/>
      <w:bookmarkEnd w:id="75"/>
      <w:bookmarkEnd w:id="76"/>
      <w:bookmarkEnd w:id="77"/>
      <w:bookmarkEnd w:id="78"/>
    </w:p>
    <w:p>
      <w:pPr>
        <w:bidi w:val="0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JLLB-2AF</w:t>
      </w:r>
      <w:r>
        <w:rPr>
          <w:rFonts w:hint="eastAsia"/>
          <w:b/>
          <w:bCs/>
          <w:sz w:val="24"/>
          <w:szCs w:val="24"/>
        </w:rPr>
        <w:t>是从器件，支持读写两种操作模式：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1）写操作：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首字节由7位从机地址和一位读写位组成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（RWB=0）。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第二字节是要访问的内部寄存器地址。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下一个字节是要写入寄存器的内容。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继续写入下一个寄存器，直到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STOP信号出现。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收到数据后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JLLB-2AF会发送应答信号。</w:t>
      </w:r>
    </w:p>
    <w:p>
      <w:pPr>
        <w:ind w:left="1260"/>
        <w:jc w:val="center"/>
        <w:rPr>
          <w:rFonts w:hint="eastAsia" w:ascii="Arial" w:hAnsi="Arial" w:cs="Arial"/>
          <w:bCs/>
          <w:sz w:val="20"/>
          <w:szCs w:val="20"/>
        </w:rPr>
      </w:pPr>
      <w:r>
        <w:object>
          <v:shape id="_x0000_i1027" o:spt="75" alt="" type="#_x0000_t75" style="height:94.65pt;width:280.75pt;" o:ole="t" filled="f" o:preferrelative="t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Visio.Drawing.11" ShapeID="_x0000_i1027" DrawAspect="Content" ObjectID="_1468075727" r:id="rId16">
            <o:LockedField>false</o:LockedField>
          </o:OLEObject>
        </w:objec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2）读操作：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读操作的首寄存器地址由不含数据的写操作指定，由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STOP信号结束。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然后主机送出开始信号，和器件地址和读取位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(R/WB=1)，接下来的数据地址，是由首地址开始，然后地址依次加一。</w:t>
      </w:r>
    </w:p>
    <w:p>
      <w:pPr>
        <w:ind w:left="1200"/>
        <w:jc w:val="center"/>
        <w:rPr>
          <w:rFonts w:hint="eastAsia"/>
        </w:rPr>
      </w:pPr>
      <w:r>
        <w:object>
          <v:shape id="_x0000_i1028" o:spt="75" alt="" type="#_x0000_t75" style="height:193.5pt;width:275.65pt;" o:ole="t" filled="f" o:preferrelative="t" stroked="f" coordsize="21600,21600">
            <v:path/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Visio.Drawing.11" ShapeID="_x0000_i1028" DrawAspect="Content" ObjectID="_1468075728" r:id="rId18">
            <o:LockedField>false</o:LockedField>
          </o:OLEObject>
        </w:object>
      </w:r>
    </w:p>
    <w:p>
      <w:pPr>
        <w:pStyle w:val="3"/>
        <w:bidi w:val="0"/>
        <w:ind w:left="464" w:leftChars="200" w:hanging="24" w:hangingChars="10"/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</w:pPr>
      <w:bookmarkStart w:id="79" w:name="_Toc522"/>
      <w:bookmarkStart w:id="80" w:name="_Toc24953"/>
      <w:bookmarkStart w:id="81" w:name="_Toc25926"/>
      <w:bookmarkStart w:id="82" w:name="_Toc24768"/>
      <w:bookmarkStart w:id="83" w:name="_Toc13354"/>
      <w:bookmarkStart w:id="84" w:name="_Toc21371"/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 w:bidi="ar-SA"/>
        </w:rPr>
        <w:t>8.6 （X）控制寄存器列表</w:t>
      </w:r>
      <w:bookmarkEnd w:id="79"/>
      <w:bookmarkEnd w:id="80"/>
      <w:bookmarkEnd w:id="81"/>
      <w:bookmarkEnd w:id="82"/>
      <w:bookmarkEnd w:id="83"/>
      <w:bookmarkEnd w:id="84"/>
    </w:p>
    <w:tbl>
      <w:tblPr>
        <w:tblStyle w:val="8"/>
        <w:tblW w:w="10127" w:type="dxa"/>
        <w:tblInd w:w="46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5"/>
        <w:gridCol w:w="1214"/>
        <w:gridCol w:w="825"/>
        <w:gridCol w:w="1318"/>
        <w:gridCol w:w="656"/>
        <w:gridCol w:w="656"/>
        <w:gridCol w:w="656"/>
        <w:gridCol w:w="863"/>
        <w:gridCol w:w="670"/>
        <w:gridCol w:w="670"/>
        <w:gridCol w:w="757"/>
        <w:gridCol w:w="75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寄存器</w:t>
            </w:r>
          </w:p>
        </w:tc>
        <w:tc>
          <w:tcPr>
            <w:tcW w:w="1214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地址（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HEX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）</w:t>
            </w:r>
          </w:p>
        </w:tc>
        <w:tc>
          <w:tcPr>
            <w:tcW w:w="825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读写</w:t>
            </w:r>
          </w:p>
        </w:tc>
        <w:tc>
          <w:tcPr>
            <w:tcW w:w="1318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初始值（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BIN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）</w:t>
            </w:r>
          </w:p>
        </w:tc>
        <w:tc>
          <w:tcPr>
            <w:tcW w:w="5685" w:type="dxa"/>
            <w:gridSpan w:val="8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寄存器功能描述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318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Bit7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Bit6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Bit5</w:t>
            </w:r>
          </w:p>
        </w:tc>
        <w:tc>
          <w:tcPr>
            <w:tcW w:w="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Bit4</w:t>
            </w: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Bit3</w:t>
            </w: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Bit2</w:t>
            </w:r>
          </w:p>
        </w:tc>
        <w:tc>
          <w:tcPr>
            <w:tcW w:w="7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Bit1</w:t>
            </w:r>
          </w:p>
        </w:tc>
        <w:tc>
          <w:tcPr>
            <w:tcW w:w="75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WL</w:t>
            </w:r>
          </w:p>
        </w:tc>
        <w:tc>
          <w:tcPr>
            <w:tcW w:w="12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00H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W</w:t>
            </w:r>
          </w:p>
        </w:tc>
        <w:tc>
          <w:tcPr>
            <w:tcW w:w="13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0000 0000</w:t>
            </w:r>
          </w:p>
        </w:tc>
        <w:tc>
          <w:tcPr>
            <w:tcW w:w="568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WL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[7:0]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REG1</w:t>
            </w:r>
          </w:p>
        </w:tc>
        <w:tc>
          <w:tcPr>
            <w:tcW w:w="12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01H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W</w:t>
            </w:r>
          </w:p>
        </w:tc>
        <w:tc>
          <w:tcPr>
            <w:tcW w:w="13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0000 0000</w:t>
            </w:r>
          </w:p>
        </w:tc>
        <w:tc>
          <w:tcPr>
            <w:tcW w:w="568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REG1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[7:0]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108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REG2</w:t>
            </w:r>
          </w:p>
        </w:tc>
        <w:tc>
          <w:tcPr>
            <w:tcW w:w="12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H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W</w:t>
            </w:r>
          </w:p>
        </w:tc>
        <w:tc>
          <w:tcPr>
            <w:tcW w:w="13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0000 0000</w:t>
            </w:r>
          </w:p>
        </w:tc>
        <w:tc>
          <w:tcPr>
            <w:tcW w:w="568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REG2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[7:0]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REG3</w:t>
            </w:r>
          </w:p>
        </w:tc>
        <w:tc>
          <w:tcPr>
            <w:tcW w:w="12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H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W</w:t>
            </w:r>
          </w:p>
        </w:tc>
        <w:tc>
          <w:tcPr>
            <w:tcW w:w="13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0000 0000</w:t>
            </w:r>
          </w:p>
        </w:tc>
        <w:tc>
          <w:tcPr>
            <w:tcW w:w="5685" w:type="dxa"/>
            <w:gridSpan w:val="8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REG3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[7:0]</w:t>
            </w:r>
          </w:p>
        </w:tc>
      </w:tr>
    </w:tbl>
    <w:p>
      <w:pPr>
        <w:ind w:firstLine="420"/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表3</w:t>
      </w:r>
    </w:p>
    <w:p>
      <w:pPr>
        <w:bidi w:val="0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eastAsia="zh-CN"/>
        </w:rPr>
        <w:t>液位</w:t>
      </w:r>
      <w:r>
        <w:rPr>
          <w:rFonts w:hint="eastAsia"/>
          <w:b/>
          <w:bCs/>
          <w:sz w:val="24"/>
          <w:szCs w:val="24"/>
        </w:rPr>
        <w:t xml:space="preserve">信息寄存器 </w:t>
      </w:r>
      <w:r>
        <w:rPr>
          <w:rFonts w:hint="eastAsia"/>
          <w:b/>
          <w:bCs/>
          <w:sz w:val="24"/>
          <w:szCs w:val="24"/>
          <w:lang w:val="en-US" w:eastAsia="zh-CN"/>
        </w:rPr>
        <w:t>WL</w:t>
      </w:r>
      <w:r>
        <w:rPr>
          <w:rFonts w:hint="eastAsia"/>
          <w:b/>
          <w:bCs/>
          <w:sz w:val="24"/>
          <w:szCs w:val="24"/>
        </w:rPr>
        <w:t xml:space="preserve"> (地址0</w:t>
      </w:r>
      <w:r>
        <w:rPr>
          <w:rFonts w:hint="eastAsia"/>
          <w:b/>
          <w:bCs/>
          <w:sz w:val="24"/>
          <w:szCs w:val="24"/>
          <w:lang w:val="en-US" w:eastAsia="zh-CN"/>
        </w:rPr>
        <w:t>0</w:t>
      </w:r>
      <w:r>
        <w:rPr>
          <w:rFonts w:hint="eastAsia"/>
          <w:b/>
          <w:bCs/>
          <w:sz w:val="24"/>
          <w:szCs w:val="24"/>
        </w:rPr>
        <w:t xml:space="preserve">H)  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 xml:space="preserve">WL[7:0]                 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 xml:space="preserve">WL由 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0x00~0xFF,对应液位逐渐升高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REG1[7:0]~REG3[7:0]     和主机通信用，完成液位初始值的读取和参数设置</w:t>
      </w:r>
    </w:p>
    <w:p>
      <w:pPr>
        <w:rPr>
          <w:rFonts w:hint="eastAsia" w:ascii="Arial" w:hAnsi="Arial" w:cs="Arial"/>
          <w:bCs/>
          <w:sz w:val="20"/>
          <w:szCs w:val="20"/>
        </w:rPr>
      </w:pPr>
    </w:p>
    <w:p>
      <w:pPr>
        <w:numPr>
          <w:numId w:val="0"/>
        </w:numPr>
        <w:spacing w:before="15"/>
        <w:ind w:right="723" w:rightChars="0"/>
        <w:jc w:val="left"/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</w:pPr>
    </w:p>
    <w:p>
      <w:pPr>
        <w:numPr>
          <w:ilvl w:val="0"/>
          <w:numId w:val="2"/>
        </w:numPr>
        <w:spacing w:before="15"/>
        <w:ind w:right="723"/>
        <w:jc w:val="left"/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PCB版图注意事项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1.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VCC和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VSS电源线要单独走线，不能和其它芯片（单片机和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LCD驱动芯片等）共用电源走线。以免使其它芯片的干扰信号通过电源线引到触摸芯片。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2．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CP，CVREG，CSEN三个电容必须靠近芯片放置。感应线上串联的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CX0~C1电阻，靠近芯片放置为宜。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3.尽量大的铺地面积，可以提高抗干扰性。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4.感应连线和感应焊盘优先布局。芯片靠近感应焊盘放置，感应连线不需要长度一致。感应连线线宽尽量小。感应连线周围不能走其他电源线和信号线。如果实在不能避免，其他走线要垂直跨过感应连线。</w:t>
      </w:r>
      <w:bookmarkStart w:id="85" w:name="_Toc16719"/>
      <w:bookmarkStart w:id="86" w:name="_Toc63"/>
      <w:bookmarkStart w:id="87" w:name="_Toc23654"/>
      <w:bookmarkStart w:id="88" w:name="_Toc25492"/>
      <w:bookmarkStart w:id="89" w:name="_Toc6407"/>
    </w:p>
    <w:p>
      <w:pPr>
        <w:bidi w:val="0"/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2"/>
        </w:numPr>
        <w:spacing w:before="15"/>
        <w:ind w:right="723"/>
        <w:jc w:val="left"/>
        <w:rPr>
          <w:rFonts w:hint="default" w:ascii="黑体" w:hAnsi="黑体" w:eastAsia="黑体" w:cs="黑体"/>
          <w:b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额定值</w:t>
      </w:r>
      <w:bookmarkEnd w:id="85"/>
      <w:bookmarkEnd w:id="86"/>
      <w:bookmarkEnd w:id="87"/>
      <w:r>
        <w:rPr>
          <w:rFonts w:hint="default" w:ascii="黑体" w:hAnsi="黑体" w:eastAsia="黑体" w:cs="黑体"/>
          <w:b/>
          <w:bCs w:val="0"/>
          <w:sz w:val="28"/>
          <w:szCs w:val="28"/>
          <w:lang w:val="en-US" w:eastAsia="zh-CN"/>
        </w:rPr>
        <w:t xml:space="preserve"> </w:t>
      </w:r>
      <w:bookmarkEnd w:id="88"/>
      <w:bookmarkEnd w:id="89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工作温度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-40 ~ +85ºC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存储温度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-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50 ~ +150ºC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电源电压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-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0.3 ~ +5.5V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管脚最大电流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ab/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±20mA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管脚电压</w:t>
      </w: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-0.3V ~ (Vcc+ 0.3) Volts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iCs/>
          <w:kern w:val="0"/>
          <w:sz w:val="24"/>
          <w:szCs w:val="24"/>
          <w:lang w:val="en-US" w:eastAsia="zh-CN"/>
        </w:rPr>
        <w:t>* 注意 超出额定值可能会导致芯片永久损坏</w:t>
      </w:r>
    </w:p>
    <w:p>
      <w:pPr>
        <w:bidi w:val="0"/>
        <w:ind w:firstLine="480" w:firstLineChars="200"/>
        <w:rPr>
          <w:rFonts w:hint="eastAsia"/>
          <w:sz w:val="24"/>
          <w:szCs w:val="24"/>
        </w:rPr>
      </w:pPr>
    </w:p>
    <w:p>
      <w:pPr>
        <w:numPr>
          <w:ilvl w:val="0"/>
          <w:numId w:val="2"/>
        </w:numPr>
        <w:spacing w:before="15"/>
        <w:ind w:right="723"/>
        <w:jc w:val="left"/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</w:pPr>
      <w:bookmarkStart w:id="90" w:name="_Toc22768"/>
      <w:bookmarkStart w:id="91" w:name="_Toc24244"/>
      <w:bookmarkStart w:id="92" w:name="_Toc27301"/>
      <w:bookmarkStart w:id="93" w:name="_Toc13309"/>
      <w:bookmarkStart w:id="94" w:name="_Toc815"/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电气特性</w:t>
      </w:r>
      <w:bookmarkEnd w:id="90"/>
      <w:bookmarkEnd w:id="91"/>
      <w:bookmarkEnd w:id="92"/>
      <w:bookmarkEnd w:id="93"/>
      <w:bookmarkEnd w:id="94"/>
    </w:p>
    <w:p>
      <w:pPr>
        <w:autoSpaceDE w:val="0"/>
        <w:autoSpaceDN w:val="0"/>
        <w:adjustRightInd w:val="0"/>
        <w:ind w:firstLine="448" w:firstLineChars="204"/>
        <w:jc w:val="left"/>
        <w:rPr>
          <w:rFonts w:hint="eastAsia"/>
          <w:lang w:val="en-US" w:eastAsia="zh-CN"/>
        </w:rPr>
      </w:pPr>
      <w:r>
        <w:rPr>
          <w:rFonts w:ascii="宋体" w:hAnsi="宋体"/>
          <w:color w:val="292929"/>
          <w:sz w:val="22"/>
        </w:rPr>
        <w:t>TA = 25</w:t>
      </w:r>
      <w:r>
        <w:rPr>
          <w:rFonts w:hint="eastAsia" w:ascii="宋体" w:hAnsi="宋体"/>
          <w:color w:val="292929"/>
          <w:sz w:val="22"/>
        </w:rPr>
        <w:t>℃</w:t>
      </w:r>
      <w:bookmarkStart w:id="95" w:name="_Toc11146"/>
      <w:bookmarkStart w:id="96" w:name="_Toc23850"/>
      <w:bookmarkStart w:id="97" w:name="_Toc18017"/>
      <w:bookmarkStart w:id="98" w:name="_Toc6916"/>
      <w:bookmarkStart w:id="99" w:name="_Toc10160"/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6"/>
        <w:gridCol w:w="1392"/>
        <w:gridCol w:w="1578"/>
        <w:gridCol w:w="1440"/>
        <w:gridCol w:w="1510"/>
        <w:gridCol w:w="1510"/>
        <w:gridCol w:w="1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特性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符号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条件</w:t>
            </w: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最小值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典型值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最大值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工作电压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Vcc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2.5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.5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Merge w:val="restart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电流消耗</w:t>
            </w:r>
          </w:p>
        </w:tc>
        <w:tc>
          <w:tcPr>
            <w:tcW w:w="1392" w:type="dxa"/>
            <w:vMerge w:val="restart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Idd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VCC=5.0V</w:t>
            </w: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1.</w:t>
            </w: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  <w:t>09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eastAsia="zh-CN"/>
              </w:rPr>
            </w:pPr>
          </w:p>
        </w:tc>
        <w:tc>
          <w:tcPr>
            <w:tcW w:w="1392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VCC=3.0V</w:t>
            </w: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  <w:t>570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UA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上电稳定时间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Tini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  <w:t>600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感应电容范围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CX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2.5*CSEN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输出灌电流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Isk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VCC=5V</w:t>
            </w: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10.0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输出</w:t>
            </w: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eastAsia="zh-CN"/>
              </w:rPr>
              <w:t>拉</w:t>
            </w: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电流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I</w:t>
            </w: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  <w:t>pl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VCC=5V</w:t>
            </w: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10.0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最小检测电容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delta_CX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CSEN=15pf</w:t>
            </w: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</w:t>
            </w: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pF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采样周期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Tsi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正常工作状态</w:t>
            </w: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  <w:t>4.8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ms</w:t>
            </w:r>
          </w:p>
        </w:tc>
      </w:tr>
    </w:tbl>
    <w:p>
      <w:pPr>
        <w:pStyle w:val="2"/>
        <w:bidi w:val="0"/>
        <w:ind w:left="0" w:leftChars="0" w:firstLine="0" w:firstLineChars="0"/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表4</w:t>
      </w: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2"/>
        </w:numPr>
        <w:spacing w:before="15"/>
        <w:ind w:right="723"/>
        <w:jc w:val="left"/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ESD特性</w:t>
      </w:r>
      <w:bookmarkEnd w:id="95"/>
      <w:bookmarkEnd w:id="96"/>
      <w:bookmarkEnd w:id="97"/>
      <w:bookmarkEnd w:id="98"/>
      <w:bookmarkEnd w:id="99"/>
      <w:bookmarkStart w:id="100" w:name="_Toc10534"/>
      <w:bookmarkStart w:id="101" w:name="_Toc20601"/>
      <w:bookmarkStart w:id="102" w:name="_Toc24842"/>
      <w:bookmarkStart w:id="103" w:name="_Toc32520"/>
      <w:bookmarkStart w:id="104" w:name="_Toc2366"/>
    </w:p>
    <w:tbl>
      <w:tblPr>
        <w:tblStyle w:val="9"/>
        <w:tblW w:w="0" w:type="auto"/>
        <w:tblInd w:w="16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1575"/>
        <w:gridCol w:w="1470"/>
        <w:gridCol w:w="15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Helvetica" w:hAnsi="Helvetica" w:cs="Times New Roman"/>
                <w:color w:val="292929"/>
                <w:sz w:val="22"/>
                <w:lang w:val="en-US" w:eastAsia="zh-CN"/>
              </w:rPr>
              <w:t>模式</w:t>
            </w:r>
          </w:p>
        </w:tc>
        <w:tc>
          <w:tcPr>
            <w:tcW w:w="157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Helvetica" w:hAnsi="Helvetica" w:cs="Times New Roman"/>
                <w:color w:val="292929"/>
                <w:sz w:val="22"/>
                <w:lang w:val="en-US" w:eastAsia="zh-CN"/>
              </w:rPr>
              <w:t>极性</w:t>
            </w:r>
          </w:p>
        </w:tc>
        <w:tc>
          <w:tcPr>
            <w:tcW w:w="147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Helvetica" w:hAnsi="Helvetica" w:cs="Times New Roman"/>
                <w:color w:val="292929"/>
                <w:sz w:val="22"/>
                <w:lang w:val="en-US" w:eastAsia="zh-CN"/>
              </w:rPr>
              <w:t>最大值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Helvetica" w:hAnsi="Helvetica" w:cs="Times New Roman"/>
                <w:color w:val="292929"/>
                <w:sz w:val="22"/>
                <w:lang w:val="en-US" w:eastAsia="zh-CN"/>
              </w:rPr>
              <w:t>参考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395" w:type="dxa"/>
            <w:vMerge w:val="restart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H.B.M</w:t>
            </w:r>
          </w:p>
        </w:tc>
        <w:tc>
          <w:tcPr>
            <w:tcW w:w="1575" w:type="dxa"/>
            <w:vMerge w:val="restart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POS/NEG</w:t>
            </w:r>
          </w:p>
        </w:tc>
        <w:tc>
          <w:tcPr>
            <w:tcW w:w="147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8000V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VDD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39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</w:p>
        </w:tc>
        <w:tc>
          <w:tcPr>
            <w:tcW w:w="157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</w:p>
        </w:tc>
        <w:tc>
          <w:tcPr>
            <w:tcW w:w="147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8000V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VSS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39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</w:p>
        </w:tc>
        <w:tc>
          <w:tcPr>
            <w:tcW w:w="157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</w:p>
        </w:tc>
        <w:tc>
          <w:tcPr>
            <w:tcW w:w="147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8000V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P to 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395" w:type="dxa"/>
            <w:vMerge w:val="restart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M.M</w:t>
            </w:r>
          </w:p>
        </w:tc>
        <w:tc>
          <w:tcPr>
            <w:tcW w:w="1575" w:type="dxa"/>
            <w:vMerge w:val="restart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POS/NEG</w:t>
            </w:r>
          </w:p>
        </w:tc>
        <w:tc>
          <w:tcPr>
            <w:tcW w:w="147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00V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VDD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39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</w:p>
        </w:tc>
        <w:tc>
          <w:tcPr>
            <w:tcW w:w="157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</w:p>
        </w:tc>
        <w:tc>
          <w:tcPr>
            <w:tcW w:w="147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00V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VSS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39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</w:p>
        </w:tc>
        <w:tc>
          <w:tcPr>
            <w:tcW w:w="157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</w:p>
        </w:tc>
        <w:tc>
          <w:tcPr>
            <w:tcW w:w="147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  <w:t>60</w:t>
            </w: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0V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P to P</w:t>
            </w:r>
          </w:p>
        </w:tc>
      </w:tr>
    </w:tbl>
    <w:p>
      <w:pPr>
        <w:pStyle w:val="2"/>
        <w:bidi w:val="0"/>
        <w:ind w:left="0" w:leftChars="0" w:firstLine="0" w:firstLineChars="0"/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表5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numPr>
          <w:ilvl w:val="0"/>
          <w:numId w:val="2"/>
        </w:numPr>
        <w:spacing w:before="15"/>
        <w:ind w:right="723"/>
        <w:jc w:val="left"/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封装尺寸图 (</w:t>
      </w:r>
      <w:r>
        <w:rPr>
          <w:rFonts w:hint="default" w:ascii="黑体" w:hAnsi="黑体" w:eastAsia="黑体" w:cs="黑体"/>
          <w:b/>
          <w:bCs w:val="0"/>
          <w:sz w:val="28"/>
          <w:szCs w:val="28"/>
          <w:lang w:val="en-US" w:eastAsia="zh-CN"/>
        </w:rPr>
        <w:t>SO-16)</w:t>
      </w:r>
      <w:bookmarkEnd w:id="100"/>
      <w:bookmarkEnd w:id="101"/>
      <w:bookmarkEnd w:id="102"/>
      <w:bookmarkEnd w:id="103"/>
      <w:bookmarkEnd w:id="104"/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 xml:space="preserve"> </w:t>
      </w:r>
    </w:p>
    <w:p>
      <w:pPr>
        <w:autoSpaceDE w:val="0"/>
        <w:autoSpaceDN w:val="0"/>
        <w:adjustRightInd w:val="0"/>
        <w:ind w:left="185" w:leftChars="84" w:firstLine="187" w:firstLineChars="85"/>
        <w:jc w:val="center"/>
        <w:rPr>
          <w:rFonts w:hint="eastAsia" w:ascii="宋体" w:hAnsi="宋体" w:eastAsia="宋体"/>
          <w:color w:val="292929"/>
          <w:sz w:val="22"/>
          <w:lang w:eastAsia="zh-CN"/>
        </w:rPr>
      </w:pPr>
      <w:r>
        <w:rPr>
          <w:rFonts w:hint="eastAsia" w:ascii="宋体" w:hAnsi="宋体" w:eastAsia="宋体"/>
          <w:color w:val="292929"/>
          <w:sz w:val="22"/>
          <w:lang w:eastAsia="zh-CN"/>
        </w:rPr>
        <w:drawing>
          <wp:inline distT="0" distB="0" distL="114300" distR="114300">
            <wp:extent cx="4413885" cy="2682875"/>
            <wp:effectExtent l="0" t="0" r="0" b="3175"/>
            <wp:docPr id="14" name="图片 14" descr="9034032534_71153520478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9034032534_71153520478_1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13885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bidi w:val="0"/>
        <w:ind w:left="0" w:leftChars="0" w:firstLine="0" w:firstLineChars="0"/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图5</w:t>
      </w:r>
    </w:p>
    <w:p>
      <w:pPr>
        <w:rPr>
          <w:rFonts w:hint="eastAsia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9"/>
        <w:gridCol w:w="1508"/>
        <w:gridCol w:w="1508"/>
        <w:gridCol w:w="1511"/>
        <w:gridCol w:w="1509"/>
        <w:gridCol w:w="1509"/>
        <w:gridCol w:w="15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</w:trPr>
        <w:tc>
          <w:tcPr>
            <w:tcW w:w="1509" w:type="dxa"/>
            <w:vMerge w:val="restart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Symbol</w:t>
            </w:r>
          </w:p>
        </w:tc>
        <w:tc>
          <w:tcPr>
            <w:tcW w:w="4527" w:type="dxa"/>
            <w:gridSpan w:val="3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Dimensions In Millimeters</w:t>
            </w:r>
          </w:p>
        </w:tc>
        <w:tc>
          <w:tcPr>
            <w:tcW w:w="4530" w:type="dxa"/>
            <w:gridSpan w:val="3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Dimensions In Inches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</w:trPr>
        <w:tc>
          <w:tcPr>
            <w:tcW w:w="1509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Min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Nom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Max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Min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Nom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Max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A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1.30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1.50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1.70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0.051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0.059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A1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0.06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0.16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0.26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0.002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0.006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b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0.30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0.40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0.55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0.012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0.016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C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0.15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0.25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0.35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0.006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0.010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D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9.70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10.00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10.30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0.382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0.394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0.406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E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3.75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3.95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4.15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.0148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0.156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0.163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e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--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1.27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--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--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0.050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--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H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5.70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6.00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6.30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0.224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0.236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0.248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L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0.45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0.65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0.85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0.018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0.026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Cs/>
                <w:kern w:val="0"/>
                <w:sz w:val="24"/>
                <w:szCs w:val="24"/>
              </w:rPr>
              <w:t>θ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0°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--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8°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0°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--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8°</w:t>
            </w:r>
          </w:p>
        </w:tc>
      </w:tr>
    </w:tbl>
    <w:p>
      <w:pPr>
        <w:pStyle w:val="2"/>
        <w:bidi w:val="0"/>
        <w:ind w:left="0" w:leftChars="0" w:firstLine="0" w:firstLineChars="0"/>
        <w:jc w:val="center"/>
        <w:rPr>
          <w:rFonts w:hint="default"/>
          <w:b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表6</w:t>
      </w:r>
    </w:p>
    <w:sectPr>
      <w:headerReference r:id="rId5" w:type="default"/>
      <w:footerReference r:id="rId6" w:type="default"/>
      <w:pgSz w:w="11910" w:h="16840"/>
      <w:pgMar w:top="1280" w:right="760" w:bottom="1280" w:left="800" w:header="583" w:footer="108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721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FPt9NkAAAAOAQAADwAAAAAAAAABACAAAAAiAAAAZHJzL2Rvd25yZXYueG1sUEsBAhQAFAAA&#10;AAgAh07iQHodaM+1AQAAXgMAAA4AAAAAAAAAAQAgAAAAKAEAAGRycy9lMm9Eb2MueG1sUEsFBgAA&#10;AAAGAAYAWQEAAE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3160395</wp:posOffset>
              </wp:positionH>
              <wp:positionV relativeFrom="page">
                <wp:posOffset>509905</wp:posOffset>
              </wp:positionV>
              <wp:extent cx="1163320" cy="20066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63320" cy="200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16" w:lineRule="exact"/>
                            <w:ind w:left="20" w:right="0" w:firstLine="0"/>
                            <w:jc w:val="left"/>
                            <w:rPr>
                              <w:rFonts w:hint="default" w:ascii="微软雅黑" w:eastAsia="微软雅黑"/>
                              <w:b/>
                              <w:sz w:val="21"/>
                              <w:lang w:val="en-US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48.85pt;margin-top:40.15pt;height:15.8pt;width:91.6pt;mso-position-horizontal-relative:page;mso-position-vertical-relative:page;z-index:-251657216;mso-width-relative:page;mso-height-relative:page;" filled="f" stroked="f" coordsize="21600,21600" o:gfxdata="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+i0RrdgAAAAKAQAADwAAAAAAAAABACAAAAAiAAAAZHJzL2Rvd25yZXYueG1sUEsBAhQA&#10;FAAAAAgAh07iQMKbqh+5AQAAcgMAAA4AAAAAAAAAAQAgAAAAJw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16" w:lineRule="exact"/>
                      <w:ind w:left="20" w:right="0" w:firstLine="0"/>
                      <w:jc w:val="left"/>
                      <w:rPr>
                        <w:rFonts w:hint="default" w:ascii="微软雅黑" w:eastAsia="微软雅黑"/>
                        <w:b/>
                        <w:sz w:val="21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50B679"/>
    <w:multiLevelType w:val="singleLevel"/>
    <w:tmpl w:val="CD50B679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691542CE"/>
    <w:multiLevelType w:val="singleLevel"/>
    <w:tmpl w:val="691542C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00000000"/>
    <w:rsid w:val="00081A02"/>
    <w:rsid w:val="05257533"/>
    <w:rsid w:val="057D33B7"/>
    <w:rsid w:val="09AC43FD"/>
    <w:rsid w:val="0A373ECB"/>
    <w:rsid w:val="0AD46AA9"/>
    <w:rsid w:val="0AE506BD"/>
    <w:rsid w:val="0B1B1B21"/>
    <w:rsid w:val="0B6C63CD"/>
    <w:rsid w:val="1135538B"/>
    <w:rsid w:val="153C2CB3"/>
    <w:rsid w:val="15C959CD"/>
    <w:rsid w:val="198253AE"/>
    <w:rsid w:val="198E306D"/>
    <w:rsid w:val="1BE0460E"/>
    <w:rsid w:val="20291005"/>
    <w:rsid w:val="229B128E"/>
    <w:rsid w:val="22F74CB0"/>
    <w:rsid w:val="26066725"/>
    <w:rsid w:val="26610C62"/>
    <w:rsid w:val="2C486BA9"/>
    <w:rsid w:val="2E9B4249"/>
    <w:rsid w:val="2EF61174"/>
    <w:rsid w:val="344171A3"/>
    <w:rsid w:val="37B361EB"/>
    <w:rsid w:val="39437970"/>
    <w:rsid w:val="39707AF0"/>
    <w:rsid w:val="3D7532B0"/>
    <w:rsid w:val="40F263AF"/>
    <w:rsid w:val="43F115A4"/>
    <w:rsid w:val="466E30DF"/>
    <w:rsid w:val="508771FA"/>
    <w:rsid w:val="51995CA1"/>
    <w:rsid w:val="52644CB0"/>
    <w:rsid w:val="532E4241"/>
    <w:rsid w:val="54461C1F"/>
    <w:rsid w:val="5BF979BC"/>
    <w:rsid w:val="5DC225DD"/>
    <w:rsid w:val="5EC951E1"/>
    <w:rsid w:val="65670229"/>
    <w:rsid w:val="69A901F6"/>
    <w:rsid w:val="71A5490B"/>
    <w:rsid w:val="749A44CF"/>
    <w:rsid w:val="759A4D8D"/>
    <w:rsid w:val="7B3A1B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ind w:left="332"/>
      <w:outlineLvl w:val="1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paragraph" w:styleId="3">
    <w:name w:val="heading 2"/>
    <w:basedOn w:val="1"/>
    <w:next w:val="4"/>
    <w:unhideWhenUsed/>
    <w:qFormat/>
    <w:uiPriority w:val="0"/>
    <w:pPr>
      <w:keepNext/>
      <w:keepLines/>
      <w:spacing w:before="260" w:beforeLines="0" w:beforeAutospacing="0" w:after="40" w:afterLines="0" w:afterAutospacing="0" w:line="240" w:lineRule="auto"/>
      <w:outlineLvl w:val="1"/>
    </w:pPr>
    <w:rPr>
      <w:rFonts w:ascii="Arial" w:hAnsi="Arial" w:eastAsia="宋体"/>
      <w:b/>
      <w:sz w:val="2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9">
    <w:name w:val="Table Grid"/>
    <w:basedOn w:val="8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table" w:customStyle="1" w:styleId="12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14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  <w:style w:type="paragraph" w:customStyle="1" w:styleId="15">
    <w:name w:val="ordinary-output target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9.png"/><Relationship Id="rId2" Type="http://schemas.openxmlformats.org/officeDocument/2006/relationships/settings" Target="settings.xml"/><Relationship Id="rId19" Type="http://schemas.openxmlformats.org/officeDocument/2006/relationships/image" Target="media/image8.emf"/><Relationship Id="rId18" Type="http://schemas.openxmlformats.org/officeDocument/2006/relationships/oleObject" Target="embeddings/oleObject4.bin"/><Relationship Id="rId17" Type="http://schemas.openxmlformats.org/officeDocument/2006/relationships/image" Target="media/image7.emf"/><Relationship Id="rId16" Type="http://schemas.openxmlformats.org/officeDocument/2006/relationships/oleObject" Target="embeddings/oleObject3.bin"/><Relationship Id="rId15" Type="http://schemas.openxmlformats.org/officeDocument/2006/relationships/image" Target="media/image6.emf"/><Relationship Id="rId14" Type="http://schemas.openxmlformats.org/officeDocument/2006/relationships/oleObject" Target="embeddings/oleObject2.bin"/><Relationship Id="rId13" Type="http://schemas.openxmlformats.org/officeDocument/2006/relationships/image" Target="media/image5.emf"/><Relationship Id="rId12" Type="http://schemas.openxmlformats.org/officeDocument/2006/relationships/oleObject" Target="embeddings/oleObject1.bin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2179</Words>
  <Characters>4804</Characters>
  <TotalTime>32</TotalTime>
  <ScaleCrop>false</ScaleCrop>
  <LinksUpToDate>false</LinksUpToDate>
  <CharactersWithSpaces>5117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丁毓骄</cp:lastModifiedBy>
  <cp:lastPrinted>2022-10-26T09:28:53Z</cp:lastPrinted>
  <dcterms:modified xsi:type="dcterms:W3CDTF">2022-10-26T09:55:36Z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2052-11.1.0.12358</vt:lpwstr>
  </property>
  <property fmtid="{D5CDD505-2E9C-101B-9397-08002B2CF9AE}" pid="6" name="ICV">
    <vt:lpwstr>5350F4CB5ACD40EE880DEF846112FC89</vt:lpwstr>
  </property>
</Properties>
</file>