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-81915</wp:posOffset>
                </wp:positionH>
                <wp:positionV relativeFrom="paragraph">
                  <wp:posOffset>353695</wp:posOffset>
                </wp:positionV>
                <wp:extent cx="5543550" cy="2533650"/>
                <wp:effectExtent l="0" t="0" r="0" b="0"/>
                <wp:wrapNone/>
                <wp:docPr id="2" name="文本框 2"/>
                <wp:cNvGraphicFramePr/>
                <a:graphic xmlns:a="http://schemas.openxmlformats.org/drawingml/2006/main">
                  <a:graphicData uri="http://schemas.microsoft.com/office/word/2010/wordprocessingShape">
                    <wps:wsp>
                      <wps:cNvSpPr txBox="1"/>
                      <wps:spPr>
                        <a:xfrm>
                          <a:off x="1061085" y="1268095"/>
                          <a:ext cx="5543550" cy="2533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4"/>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锂电池失效模组</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color w:val="auto"/>
                                      <w:sz w:val="44"/>
                                      <w:szCs w:val="44"/>
                                      <w:lang w:val="en-US" w:eastAsia="zh-CN"/>
                                    </w:rPr>
                                    <w:t>JIT</w:t>
                                  </w:r>
                                  <w:r>
                                    <w:rPr>
                                      <w:rFonts w:hint="eastAsia" w:cs="Times New Roman"/>
                                      <w:b/>
                                      <w:bCs/>
                                      <w:color w:val="auto"/>
                                      <w:sz w:val="44"/>
                                      <w:szCs w:val="44"/>
                                      <w:lang w:val="en-US" w:eastAsia="zh-CN"/>
                                    </w:rPr>
                                    <w:t>A</w:t>
                                  </w:r>
                                  <w:r>
                                    <w:rPr>
                                      <w:rFonts w:hint="eastAsia" w:ascii="Times New Roman" w:hAnsi="Times New Roman" w:eastAsia="宋体" w:cs="Times New Roman"/>
                                      <w:b/>
                                      <w:bCs/>
                                      <w:color w:val="auto"/>
                                      <w:sz w:val="44"/>
                                      <w:szCs w:val="44"/>
                                      <w:lang w:val="en-US" w:eastAsia="zh-CN"/>
                                    </w:rPr>
                                    <w:t>-</w:t>
                                  </w:r>
                                  <w:r>
                                    <w:rPr>
                                      <w:rFonts w:hint="eastAsia" w:cs="Times New Roman"/>
                                      <w:b/>
                                      <w:bCs/>
                                      <w:color w:val="auto"/>
                                      <w:sz w:val="44"/>
                                      <w:szCs w:val="44"/>
                                      <w:lang w:val="en-US" w:eastAsia="zh-CN"/>
                                    </w:rPr>
                                    <w:t>LDCSX</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45pt;margin-top:27.85pt;height:199.5pt;width:436.5pt;z-index:251660288;mso-width-relative:page;mso-height-relative:page;" filled="f" stroked="f" coordsize="21600,21600" o:gfxdata="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khvR3cAAAACgEAAA8AAAAAAAAA&#10;AQAgAAAAIgAAAGRycy9kb3ducmV2LnhtbFBLAQIUABQAAAAIAIdO4kCFNlORRgIAAHMEAAAOAAAA&#10;AAAAAAEAIAAAACsBAABkcnMvZTJvRG9jLnhtbFBLBQYAAAAABgAGAFkBAADjBQAAAAA=&#10;">
                <v:fill on="f" focussize="0,0"/>
                <v:stroke on="f" weight="0.5pt"/>
                <v:imagedata o:title=""/>
                <o:lock v:ext="edit" aspectratio="f"/>
                <v:textbox>
                  <w:txbxContent>
                    <w:tbl>
                      <w:tblPr>
                        <w:tblStyle w:val="4"/>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锂电池失效模组</w:t>
                            </w:r>
                          </w:p>
                        </w:tc>
                      </w:tr>
                      <w:tr>
                        <w:tblPrEx>
                          <w:tblCellMar>
                            <w:top w:w="0" w:type="dxa"/>
                            <w:left w:w="108" w:type="dxa"/>
                            <w:bottom w:w="0" w:type="dxa"/>
                            <w:right w:w="108" w:type="dxa"/>
                          </w:tblCellMar>
                        </w:tblPrEx>
                        <w:trPr>
                          <w:jc w:val="center"/>
                        </w:trPr>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color w:val="auto"/>
                                <w:sz w:val="44"/>
                                <w:szCs w:val="44"/>
                                <w:lang w:val="en-US" w:eastAsia="zh-CN"/>
                              </w:rPr>
                              <w:t>JIT</w:t>
                            </w:r>
                            <w:r>
                              <w:rPr>
                                <w:rFonts w:hint="eastAsia" w:cs="Times New Roman"/>
                                <w:b/>
                                <w:bCs/>
                                <w:color w:val="auto"/>
                                <w:sz w:val="44"/>
                                <w:szCs w:val="44"/>
                                <w:lang w:val="en-US" w:eastAsia="zh-CN"/>
                              </w:rPr>
                              <w:t>A</w:t>
                            </w:r>
                            <w:r>
                              <w:rPr>
                                <w:rFonts w:hint="eastAsia" w:ascii="Times New Roman" w:hAnsi="Times New Roman" w:eastAsia="宋体" w:cs="Times New Roman"/>
                                <w:b/>
                                <w:bCs/>
                                <w:color w:val="auto"/>
                                <w:sz w:val="44"/>
                                <w:szCs w:val="44"/>
                                <w:lang w:val="en-US" w:eastAsia="zh-CN"/>
                              </w:rPr>
                              <w:t>-</w:t>
                            </w:r>
                            <w:r>
                              <w:rPr>
                                <w:rFonts w:hint="eastAsia" w:cs="Times New Roman"/>
                                <w:b/>
                                <w:bCs/>
                                <w:color w:val="auto"/>
                                <w:sz w:val="44"/>
                                <w:szCs w:val="44"/>
                                <w:lang w:val="en-US" w:eastAsia="zh-CN"/>
                              </w:rPr>
                              <w:t>LDCSX</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2540</wp:posOffset>
            </wp:positionH>
            <wp:positionV relativeFrom="page">
              <wp:posOffset>-22860</wp:posOffset>
            </wp:positionV>
            <wp:extent cx="7575550" cy="10711815"/>
            <wp:effectExtent l="0" t="0" r="6350" b="1333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75550" cy="10711815"/>
                    </a:xfrm>
                    <a:prstGeom prst="rect">
                      <a:avLst/>
                    </a:prstGeom>
                    <a:noFill/>
                    <a:ln>
                      <a:noFill/>
                    </a:ln>
                  </pic:spPr>
                </pic:pic>
              </a:graphicData>
            </a:graphic>
          </wp:anchor>
        </w:drawing>
      </w:r>
    </w:p>
    <w:p>
      <w:pPr>
        <w:numPr>
          <w:ilvl w:val="0"/>
          <w:numId w:val="2"/>
        </w:numPr>
        <w:rPr>
          <w:rFonts w:hint="eastAsia" w:ascii="黑体" w:hAnsi="黑体" w:eastAsia="黑体" w:cs="黑体"/>
          <w:b/>
          <w:bCs/>
          <w:i w:val="0"/>
          <w:iCs w:val="0"/>
          <w:sz w:val="36"/>
          <w:szCs w:val="36"/>
          <w:lang w:val="en-US" w:eastAsia="zh-CN"/>
        </w:rPr>
      </w:pPr>
      <w:r>
        <w:rPr>
          <w:rFonts w:hint="eastAsia" w:ascii="黑体" w:hAnsi="黑体" w:eastAsia="黑体" w:cs="黑体"/>
          <w:b/>
          <w:bCs/>
          <w:i w:val="0"/>
          <w:iCs w:val="0"/>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i w:val="0"/>
          <w:iCs w:val="0"/>
          <w:sz w:val="30"/>
          <w:szCs w:val="30"/>
          <w:lang w:val="en-US" w:eastAsia="zh-CN"/>
        </w:rPr>
      </w:pPr>
      <w:r>
        <w:rPr>
          <w:rFonts w:hint="eastAsia" w:ascii="黑体" w:hAnsi="黑体" w:eastAsia="黑体" w:cs="黑体"/>
          <w:b/>
          <w:bCs/>
          <w:i w:val="0"/>
          <w:iCs w:val="0"/>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锂电池</w:t>
      </w:r>
      <w:r>
        <w:rPr>
          <w:rFonts w:hint="eastAsia"/>
          <w:lang w:val="en-US" w:eastAsia="zh-CN"/>
        </w:rPr>
        <w:t>失效模组</w:t>
      </w:r>
      <w:r>
        <w:t>采用先进的半导体气敏元件，对 CO 气体高度敏感，可输出电池热失控过程中产气以及温度数据，提供早期预警信号；采用独特的纳米材料膜片，防水、防油、防尘。</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i w:val="0"/>
          <w:iCs w:val="0"/>
          <w:sz w:val="30"/>
          <w:szCs w:val="30"/>
          <w:lang w:val="en-US" w:eastAsia="zh-CN"/>
        </w:rPr>
      </w:pPr>
      <w:r>
        <w:rPr>
          <w:rFonts w:hint="eastAsia" w:ascii="黑体" w:hAnsi="黑体" w:eastAsia="黑体" w:cs="黑体"/>
          <w:b/>
          <w:bCs/>
          <w:i w:val="0"/>
          <w:iCs w:val="0"/>
          <w:sz w:val="30"/>
          <w:szCs w:val="30"/>
          <w:lang w:val="en-US" w:eastAsia="zh-CN"/>
        </w:rPr>
        <w:t>产品特点</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使用寿命长达 30 年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防水、防油、防尘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强抗振动和跌落设计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产品尺寸小、功耗极低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t>应用电路简单、方便集成</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i w:val="0"/>
          <w:iCs w:val="0"/>
          <w:sz w:val="30"/>
          <w:szCs w:val="30"/>
          <w:lang w:val="en-US" w:eastAsia="zh-CN"/>
        </w:rPr>
      </w:pPr>
      <w:r>
        <w:rPr>
          <w:rFonts w:hint="eastAsia" w:ascii="黑体" w:hAnsi="黑体" w:eastAsia="黑体" w:cs="黑体"/>
          <w:b/>
          <w:bCs/>
          <w:i w:val="0"/>
          <w:iCs w:val="0"/>
          <w:sz w:val="30"/>
          <w:szCs w:val="30"/>
          <w:lang w:val="en-US" w:eastAsia="zh-CN"/>
        </w:rPr>
        <w:t>应用范围</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新能源汽车、电车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储能电站、电力系统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eastAsia"/>
          <w:lang w:val="en-US" w:eastAsia="zh-CN"/>
        </w:rPr>
      </w:pPr>
      <w:r>
        <w:t>锂电池安全监测设备</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i w:val="0"/>
          <w:iCs w:val="0"/>
          <w:sz w:val="30"/>
          <w:szCs w:val="30"/>
          <w:lang w:val="en-US" w:eastAsia="zh-CN"/>
        </w:rPr>
      </w:pPr>
      <w:r>
        <w:rPr>
          <w:rFonts w:hint="eastAsia" w:ascii="黑体" w:hAnsi="黑体" w:eastAsia="黑体" w:cs="黑体"/>
          <w:b/>
          <w:bCs/>
          <w:i w:val="0"/>
          <w:iCs w:val="0"/>
          <w:sz w:val="30"/>
          <w:szCs w:val="30"/>
          <w:lang w:val="en-US" w:eastAsia="zh-CN"/>
        </w:rPr>
        <w:t>产品原理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基于MEMS技术的气体传感器，所使用的气敏材料是在清洁空气中电导率较低的金属氧化物半导体材料。当传感器所处存在气体环境中时，传感器的电导率随空气中被检测气体的浓度而发生改变。该气体的浓度越高，传感器的电导率就越高，使用简单的电路即可将电导率的变化转换为与该气体浓度相对应的输出信号。</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t>采用自主MEMS 产线的金属氧化物半导体MOX传感器；它采用了电子鼻技术进行组份筛选，对CO/</w:t>
      </w:r>
      <w:r>
        <w:rPr>
          <w:rFonts w:hint="eastAsia"/>
          <w:lang w:val="en-US" w:eastAsia="zh-CN"/>
        </w:rPr>
        <w:t>CH4</w:t>
      </w:r>
      <w:r>
        <w:t>/H2气体选择性好，温湿度影响小，检测信号稳定的优点。同时可以根据厂家的热失控研究结果扩展检测其他多种气体；半导体CO/</w:t>
      </w:r>
      <w:r>
        <w:rPr>
          <w:rFonts w:hint="eastAsia"/>
          <w:lang w:val="en-US" w:eastAsia="zh-CN"/>
        </w:rPr>
        <w:t>CH4</w:t>
      </w:r>
      <w:r>
        <w:t>/H2传感器寿命超过15年，具有有机硅气体的抗腐蚀性</w:t>
      </w:r>
      <w:r>
        <w:rPr>
          <w:rFonts w:hint="eastAsia"/>
          <w:lang w:eastAsia="zh-CN"/>
        </w:rPr>
        <w:t>。</w:t>
      </w:r>
    </w:p>
    <w:p>
      <w:pPr>
        <w:numPr>
          <w:ilvl w:val="0"/>
          <w:numId w:val="2"/>
        </w:numPr>
        <w:rPr>
          <w:rFonts w:hint="default" w:ascii="黑体" w:hAnsi="黑体" w:eastAsia="黑体" w:cs="黑体"/>
          <w:b/>
          <w:bCs/>
          <w:i w:val="0"/>
          <w:iCs w:val="0"/>
          <w:sz w:val="36"/>
          <w:szCs w:val="36"/>
          <w:lang w:val="en-US" w:eastAsia="zh-CN"/>
        </w:rPr>
      </w:pPr>
      <w:r>
        <w:rPr>
          <w:rFonts w:hint="eastAsia" w:ascii="黑体" w:hAnsi="黑体" w:eastAsia="黑体" w:cs="黑体"/>
          <w:b/>
          <w:bCs/>
          <w:i w:val="0"/>
          <w:iCs w:val="0"/>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i w:val="0"/>
          <w:iCs w:val="0"/>
          <w:sz w:val="30"/>
          <w:szCs w:val="30"/>
          <w:lang w:val="en-US" w:eastAsia="zh-CN"/>
        </w:rPr>
      </w:pPr>
      <w:r>
        <w:rPr>
          <w:rFonts w:hint="eastAsia" w:ascii="黑体" w:hAnsi="黑体" w:eastAsia="黑体" w:cs="黑体"/>
          <w:b/>
          <w:bCs/>
          <w:i w:val="0"/>
          <w:iCs w:val="0"/>
          <w:sz w:val="30"/>
          <w:szCs w:val="30"/>
          <w:lang w:val="en-US" w:eastAsia="zh-CN"/>
        </w:rPr>
        <w:t>2.1 技术指标</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检测气体</w:t>
            </w:r>
          </w:p>
        </w:tc>
        <w:tc>
          <w:tcPr>
            <w:tcW w:w="4261" w:type="dxa"/>
          </w:tcPr>
          <w:p>
            <w:pPr>
              <w:bidi w:val="0"/>
              <w:rPr>
                <w:rFonts w:hint="default"/>
                <w:lang w:val="en-US" w:eastAsia="zh-CN"/>
              </w:rPr>
            </w:pPr>
            <w:r>
              <w:rPr>
                <w:rFonts w:hint="eastAsia"/>
                <w:lang w:val="en-US" w:eastAsia="zh-CN"/>
              </w:rPr>
              <w:t>CO/H2/</w:t>
            </w:r>
            <w:bookmarkStart w:id="4" w:name="_GoBack"/>
            <w:bookmarkEnd w:id="4"/>
            <w:r>
              <w:rPr>
                <w:rFonts w:hint="eastAsia"/>
                <w:lang w:val="en-US" w:eastAsia="zh-CN"/>
              </w:rPr>
              <w:t>CH4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分辨率</w:t>
            </w:r>
          </w:p>
        </w:tc>
        <w:tc>
          <w:tcPr>
            <w:tcW w:w="4261" w:type="dxa"/>
          </w:tcPr>
          <w:p>
            <w:pPr>
              <w:bidi w:val="0"/>
              <w:rPr>
                <w:rFonts w:hint="default"/>
                <w:lang w:val="en-US" w:eastAsia="zh-CN"/>
              </w:rPr>
            </w:pPr>
            <w:r>
              <w:rPr>
                <w:rFonts w:hint="eastAsia"/>
                <w:lang w:val="en-US" w:eastAsia="zh-CN"/>
              </w:rPr>
              <w:t>1ppm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数据刷新</w:t>
            </w:r>
          </w:p>
        </w:tc>
        <w:tc>
          <w:tcPr>
            <w:tcW w:w="4261" w:type="dxa"/>
          </w:tcPr>
          <w:p>
            <w:pPr>
              <w:bidi w:val="0"/>
              <w:rPr>
                <w:rFonts w:hint="default"/>
                <w:lang w:val="en-US" w:eastAsia="zh-CN"/>
              </w:rPr>
            </w:pPr>
            <w:r>
              <w:rPr>
                <w:rFonts w:hint="eastAsia"/>
                <w:lang w:val="en-US" w:eastAsia="zh-CN"/>
              </w:rPr>
              <w:t>≤1s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响应时间</w:t>
            </w:r>
          </w:p>
        </w:tc>
        <w:tc>
          <w:tcPr>
            <w:tcW w:w="4261" w:type="dxa"/>
          </w:tcPr>
          <w:p>
            <w:pPr>
              <w:bidi w:val="0"/>
              <w:rPr>
                <w:rFonts w:hint="default"/>
                <w:lang w:val="en-US" w:eastAsia="zh-CN"/>
              </w:rPr>
            </w:pPr>
            <w:r>
              <w:rPr>
                <w:rFonts w:hint="eastAsia"/>
                <w:lang w:val="en-US" w:eastAsia="zh-CN"/>
              </w:rPr>
              <w:t>＜15s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输出方式</w:t>
            </w:r>
          </w:p>
        </w:tc>
        <w:tc>
          <w:tcPr>
            <w:tcW w:w="4261" w:type="dxa"/>
          </w:tcPr>
          <w:p>
            <w:pPr>
              <w:bidi w:val="0"/>
              <w:rPr>
                <w:rFonts w:hint="default"/>
                <w:lang w:val="en-US" w:eastAsia="zh-CN"/>
              </w:rPr>
            </w:pPr>
            <w:r>
              <w:rPr>
                <w:rFonts w:hint="eastAsia"/>
                <w:lang w:val="en-US" w:eastAsia="zh-CN"/>
              </w:rPr>
              <w:t>CAN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工作条件</w:t>
            </w:r>
          </w:p>
        </w:tc>
        <w:tc>
          <w:tcPr>
            <w:tcW w:w="4261" w:type="dxa"/>
          </w:tcPr>
          <w:p>
            <w:pPr>
              <w:bidi w:val="0"/>
              <w:rPr>
                <w:rFonts w:hint="default"/>
                <w:lang w:val="en-US" w:eastAsia="zh-CN"/>
              </w:rPr>
            </w:pPr>
            <w:r>
              <w:rPr>
                <w:rFonts w:hint="eastAsia"/>
                <w:lang w:val="en-US" w:eastAsia="zh-CN"/>
              </w:rPr>
              <w:t>-40℃~+85℃，0~99%RH（非凝结）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存储条件</w:t>
            </w:r>
          </w:p>
        </w:tc>
        <w:tc>
          <w:tcPr>
            <w:tcW w:w="4261" w:type="dxa"/>
          </w:tcPr>
          <w:p>
            <w:pPr>
              <w:bidi w:val="0"/>
              <w:rPr>
                <w:rFonts w:hint="default"/>
                <w:lang w:val="en-US" w:eastAsia="zh-CN"/>
              </w:rPr>
            </w:pPr>
            <w:r>
              <w:rPr>
                <w:rFonts w:hint="eastAsia"/>
                <w:lang w:val="en-US" w:eastAsia="zh-CN"/>
              </w:rPr>
              <w:t>-40℃~+95℃，0~99%RH（非凝结）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工作压力</w:t>
            </w:r>
          </w:p>
        </w:tc>
        <w:tc>
          <w:tcPr>
            <w:tcW w:w="4261" w:type="dxa"/>
          </w:tcPr>
          <w:p>
            <w:pPr>
              <w:bidi w:val="0"/>
              <w:rPr>
                <w:rFonts w:hint="default"/>
                <w:lang w:val="en-US" w:eastAsia="zh-CN"/>
              </w:rPr>
            </w:pPr>
            <w:r>
              <w:rPr>
                <w:rFonts w:hint="eastAsia"/>
                <w:lang w:val="en-US" w:eastAsia="zh-CN"/>
              </w:rPr>
              <w:t>80kPa~120kPa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工作电压</w:t>
            </w:r>
          </w:p>
        </w:tc>
        <w:tc>
          <w:tcPr>
            <w:tcW w:w="4261" w:type="dxa"/>
          </w:tcPr>
          <w:p>
            <w:pPr>
              <w:bidi w:val="0"/>
              <w:rPr>
                <w:rFonts w:hint="default"/>
                <w:lang w:val="en-US" w:eastAsia="zh-CN"/>
              </w:rPr>
            </w:pPr>
            <w:r>
              <w:rPr>
                <w:rFonts w:hint="eastAsia"/>
                <w:lang w:val="en-US" w:eastAsia="zh-CN"/>
              </w:rPr>
              <w:t>9~16VDC</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i w:val="0"/>
          <w:iCs w:val="0"/>
          <w:sz w:val="30"/>
          <w:szCs w:val="30"/>
          <w:lang w:val="en-US" w:eastAsia="zh-CN"/>
        </w:rPr>
      </w:pPr>
      <w:r>
        <w:rPr>
          <w:rFonts w:hint="eastAsia" w:ascii="黑体" w:hAnsi="黑体" w:eastAsia="黑体" w:cs="黑体"/>
          <w:b/>
          <w:bCs/>
          <w:i w:val="0"/>
          <w:iCs w:val="0"/>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eastAsia" w:ascii="黑体" w:hAnsi="黑体" w:eastAsia="黑体" w:cs="黑体"/>
          <w:b/>
          <w:bCs/>
          <w:i w:val="0"/>
          <w:iCs w:val="0"/>
          <w:sz w:val="30"/>
          <w:szCs w:val="30"/>
          <w:lang w:val="en-US" w:eastAsia="zh-CN"/>
        </w:rPr>
      </w:pPr>
      <w:r>
        <w:drawing>
          <wp:inline distT="0" distB="0" distL="114300" distR="114300">
            <wp:extent cx="2548890" cy="2294255"/>
            <wp:effectExtent l="0" t="0" r="3810" b="1079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clrChange>
                        <a:clrFrom>
                          <a:srgbClr val="F0F0F0">
                            <a:alpha val="100000"/>
                          </a:srgbClr>
                        </a:clrFrom>
                        <a:clrTo>
                          <a:srgbClr val="F0F0F0">
                            <a:alpha val="100000"/>
                            <a:alpha val="0"/>
                          </a:srgbClr>
                        </a:clrTo>
                      </a:clrChange>
                    </a:blip>
                    <a:srcRect l="6188" t="9609" r="3923"/>
                    <a:stretch>
                      <a:fillRect/>
                    </a:stretch>
                  </pic:blipFill>
                  <pic:spPr>
                    <a:xfrm>
                      <a:off x="0" y="0"/>
                      <a:ext cx="2548890" cy="2294255"/>
                    </a:xfrm>
                    <a:prstGeom prst="rect">
                      <a:avLst/>
                    </a:prstGeom>
                    <a:noFill/>
                    <a:ln>
                      <a:noFill/>
                    </a:ln>
                  </pic:spPr>
                </pic:pic>
              </a:graphicData>
            </a:graphic>
          </wp:inline>
        </w:drawing>
      </w:r>
      <w:r>
        <w:drawing>
          <wp:inline distT="0" distB="0" distL="114300" distR="114300">
            <wp:extent cx="2547620" cy="2153920"/>
            <wp:effectExtent l="0" t="0" r="5080" b="1778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6">
                      <a:clrChange>
                        <a:clrFrom>
                          <a:srgbClr val="F0F0F0">
                            <a:alpha val="100000"/>
                          </a:srgbClr>
                        </a:clrFrom>
                        <a:clrTo>
                          <a:srgbClr val="F0F0F0">
                            <a:alpha val="100000"/>
                            <a:alpha val="0"/>
                          </a:srgbClr>
                        </a:clrTo>
                      </a:clrChange>
                    </a:blip>
                    <a:srcRect l="12185" t="7781" r="1697" b="2881"/>
                    <a:stretch>
                      <a:fillRect/>
                    </a:stretch>
                  </pic:blipFill>
                  <pic:spPr>
                    <a:xfrm>
                      <a:off x="0" y="0"/>
                      <a:ext cx="2547620" cy="2153920"/>
                    </a:xfrm>
                    <a:prstGeom prst="rect">
                      <a:avLst/>
                    </a:prstGeom>
                    <a:noFill/>
                    <a:ln>
                      <a:noFill/>
                    </a:ln>
                  </pic:spPr>
                </pic:pic>
              </a:graphicData>
            </a:graphic>
          </wp:inline>
        </w:drawing>
      </w:r>
      <w:r>
        <w:drawing>
          <wp:inline distT="0" distB="0" distL="114300" distR="114300">
            <wp:extent cx="2698750" cy="2025650"/>
            <wp:effectExtent l="0" t="0" r="6350" b="1270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7">
                      <a:clrChange>
                        <a:clrFrom>
                          <a:srgbClr val="F0F0F0">
                            <a:alpha val="100000"/>
                          </a:srgbClr>
                        </a:clrFrom>
                        <a:clrTo>
                          <a:srgbClr val="F0F0F0">
                            <a:alpha val="100000"/>
                            <a:alpha val="0"/>
                          </a:srgbClr>
                        </a:clrTo>
                      </a:clrChange>
                    </a:blip>
                    <a:srcRect l="7287" t="5536" r="691" b="4614"/>
                    <a:stretch>
                      <a:fillRect/>
                    </a:stretch>
                  </pic:blipFill>
                  <pic:spPr>
                    <a:xfrm>
                      <a:off x="0" y="0"/>
                      <a:ext cx="2698750" cy="2025650"/>
                    </a:xfrm>
                    <a:prstGeom prst="rect">
                      <a:avLst/>
                    </a:prstGeom>
                    <a:noFill/>
                    <a:ln>
                      <a:noFill/>
                    </a:ln>
                  </pic:spPr>
                </pic:pic>
              </a:graphicData>
            </a:graphic>
          </wp:inline>
        </w:drawing>
      </w:r>
      <w:r>
        <w:drawing>
          <wp:inline distT="0" distB="0" distL="114300" distR="114300">
            <wp:extent cx="2515235" cy="1950085"/>
            <wp:effectExtent l="0" t="0" r="18415" b="1206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8">
                      <a:clrChange>
                        <a:clrFrom>
                          <a:srgbClr val="F0F0F0">
                            <a:alpha val="100000"/>
                          </a:srgbClr>
                        </a:clrFrom>
                        <a:clrTo>
                          <a:srgbClr val="F0F0F0">
                            <a:alpha val="100000"/>
                            <a:alpha val="0"/>
                          </a:srgbClr>
                        </a:clrTo>
                      </a:clrChange>
                    </a:blip>
                    <a:srcRect l="3941" t="6739" r="1647" b="3092"/>
                    <a:stretch>
                      <a:fillRect/>
                    </a:stretch>
                  </pic:blipFill>
                  <pic:spPr>
                    <a:xfrm>
                      <a:off x="0" y="0"/>
                      <a:ext cx="2515235" cy="195008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i w:val="0"/>
          <w:iCs w:val="0"/>
          <w:sz w:val="30"/>
          <w:szCs w:val="30"/>
          <w:lang w:val="en-US" w:eastAsia="zh-CN"/>
        </w:rPr>
      </w:pPr>
      <w:r>
        <w:rPr>
          <w:rFonts w:hint="eastAsia" w:ascii="黑体" w:hAnsi="黑体" w:eastAsia="黑体" w:cs="黑体"/>
          <w:b/>
          <w:bCs/>
          <w:i w:val="0"/>
          <w:iCs w:val="0"/>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pPr>
      <w:r>
        <w:drawing>
          <wp:inline distT="0" distB="0" distL="114300" distR="114300">
            <wp:extent cx="4211320" cy="2964815"/>
            <wp:effectExtent l="0" t="0" r="17780" b="698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9">
                      <a:clrChange>
                        <a:clrFrom>
                          <a:srgbClr val="FFFFFF">
                            <a:alpha val="100000"/>
                          </a:srgbClr>
                        </a:clrFrom>
                        <a:clrTo>
                          <a:srgbClr val="FFFFFF">
                            <a:alpha val="100000"/>
                            <a:alpha val="0"/>
                          </a:srgbClr>
                        </a:clrTo>
                      </a:clrChange>
                    </a:blip>
                    <a:stretch>
                      <a:fillRect/>
                    </a:stretch>
                  </pic:blipFill>
                  <pic:spPr>
                    <a:xfrm>
                      <a:off x="0" y="0"/>
                      <a:ext cx="4211320" cy="296481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hint="default"/>
          <w:lang w:val="en-US" w:eastAsia="zh-CN"/>
        </w:rPr>
      </w:pPr>
    </w:p>
    <w:p>
      <w:pPr>
        <w:numPr>
          <w:ilvl w:val="0"/>
          <w:numId w:val="2"/>
        </w:numPr>
        <w:rPr>
          <w:rFonts w:hint="default" w:ascii="黑体" w:hAnsi="黑体" w:eastAsia="黑体" w:cs="黑体"/>
          <w:b/>
          <w:bCs/>
          <w:i w:val="0"/>
          <w:iCs w:val="0"/>
          <w:sz w:val="36"/>
          <w:szCs w:val="36"/>
          <w:lang w:val="en-US" w:eastAsia="zh-CN"/>
        </w:rPr>
      </w:pPr>
      <w:r>
        <w:rPr>
          <w:rFonts w:hint="eastAsia" w:ascii="黑体" w:hAnsi="黑体" w:eastAsia="黑体" w:cs="黑体"/>
          <w:b/>
          <w:bCs/>
          <w:i w:val="0"/>
          <w:iCs w:val="0"/>
          <w:sz w:val="36"/>
          <w:szCs w:val="36"/>
          <w:lang w:val="en-US" w:eastAsia="zh-CN"/>
        </w:rPr>
        <w:t>通讯协议</w:t>
      </w:r>
    </w:p>
    <w:p>
      <w:pPr>
        <w:rPr>
          <w:rFonts w:hint="default"/>
          <w:b/>
          <w:bCs/>
          <w:vertAlign w:val="baseline"/>
          <w:lang w:val="en-US" w:eastAsia="zh-CN"/>
        </w:rPr>
      </w:pPr>
      <w:r>
        <w:rPr>
          <w:rFonts w:hint="eastAsia"/>
          <w:b/>
          <w:bCs/>
          <w:vertAlign w:val="baseline"/>
          <w:lang w:val="en-US" w:eastAsia="zh-CN"/>
        </w:rPr>
        <w:t>1、读取寄存器数据</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065"/>
        <w:gridCol w:w="1065"/>
        <w:gridCol w:w="1065"/>
        <w:gridCol w:w="1065"/>
        <w:gridCol w:w="1065"/>
        <w:gridCol w:w="1065"/>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noWrap w:val="0"/>
            <w:vAlign w:val="top"/>
          </w:tcPr>
          <w:p>
            <w:pPr>
              <w:rPr>
                <w:rFonts w:hint="eastAsia" w:eastAsia="宋体"/>
                <w:vertAlign w:val="baseline"/>
                <w:lang w:val="en-US" w:eastAsia="zh-CN"/>
              </w:rPr>
            </w:pPr>
            <w:bookmarkStart w:id="0" w:name="OLE_LINK1" w:colFirst="3" w:colLast="4"/>
            <w:r>
              <w:rPr>
                <w:rFonts w:hint="eastAsia"/>
                <w:vertAlign w:val="baseline"/>
                <w:lang w:val="en-US" w:eastAsia="zh-CN"/>
              </w:rPr>
              <w:t>帧头</w:t>
            </w:r>
          </w:p>
        </w:tc>
        <w:tc>
          <w:tcPr>
            <w:tcW w:w="1065" w:type="dxa"/>
            <w:noWrap w:val="0"/>
            <w:vAlign w:val="top"/>
          </w:tcPr>
          <w:p>
            <w:pPr>
              <w:rPr>
                <w:rFonts w:hint="default" w:eastAsia="宋体"/>
                <w:vertAlign w:val="baseline"/>
                <w:lang w:val="en-US" w:eastAsia="zh-CN"/>
              </w:rPr>
            </w:pPr>
            <w:r>
              <w:rPr>
                <w:rFonts w:hint="eastAsia"/>
                <w:vertAlign w:val="baseline"/>
                <w:lang w:val="en-US" w:eastAsia="zh-CN"/>
              </w:rPr>
              <w:t>cmd</w:t>
            </w:r>
          </w:p>
        </w:tc>
        <w:tc>
          <w:tcPr>
            <w:tcW w:w="1065" w:type="dxa"/>
            <w:noWrap w:val="0"/>
            <w:vAlign w:val="top"/>
          </w:tcPr>
          <w:p>
            <w:pPr>
              <w:tabs>
                <w:tab w:val="left" w:pos="557"/>
              </w:tabs>
              <w:rPr>
                <w:rFonts w:hint="default" w:eastAsia="宋体"/>
                <w:vertAlign w:val="baseline"/>
                <w:lang w:val="en-US" w:eastAsia="zh-CN"/>
              </w:rPr>
            </w:pPr>
            <w:r>
              <w:rPr>
                <w:rFonts w:hint="eastAsia"/>
                <w:vertAlign w:val="baseline"/>
                <w:lang w:val="en-US" w:eastAsia="zh-CN"/>
              </w:rPr>
              <w:t>寄存器</w:t>
            </w:r>
          </w:p>
        </w:tc>
        <w:tc>
          <w:tcPr>
            <w:tcW w:w="1065" w:type="dxa"/>
            <w:noWrap w:val="0"/>
            <w:vAlign w:val="top"/>
          </w:tcPr>
          <w:p>
            <w:pPr>
              <w:rPr>
                <w:rFonts w:hint="default" w:eastAsia="宋体"/>
                <w:vertAlign w:val="baseline"/>
                <w:lang w:val="en-US" w:eastAsia="zh-CN"/>
              </w:rPr>
            </w:pPr>
            <w:r>
              <w:rPr>
                <w:rFonts w:hint="eastAsia"/>
                <w:vertAlign w:val="baseline"/>
                <w:lang w:val="en-US" w:eastAsia="zh-CN"/>
              </w:rPr>
              <w:t>默认</w:t>
            </w:r>
          </w:p>
        </w:tc>
        <w:tc>
          <w:tcPr>
            <w:tcW w:w="1065" w:type="dxa"/>
            <w:noWrap w:val="0"/>
            <w:vAlign w:val="top"/>
          </w:tcPr>
          <w:p>
            <w:pPr>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默认</w:t>
            </w:r>
          </w:p>
        </w:tc>
        <w:tc>
          <w:tcPr>
            <w:tcW w:w="1065" w:type="dxa"/>
            <w:noWrap w:val="0"/>
            <w:vAlign w:val="top"/>
          </w:tcPr>
          <w:p>
            <w:pPr>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默认</w:t>
            </w:r>
          </w:p>
        </w:tc>
        <w:tc>
          <w:tcPr>
            <w:tcW w:w="1065" w:type="dxa"/>
            <w:noWrap w:val="0"/>
            <w:vAlign w:val="top"/>
          </w:tcPr>
          <w:p>
            <w:pPr>
              <w:rPr>
                <w:rFonts w:hint="default" w:eastAsia="宋体"/>
                <w:vertAlign w:val="baseline"/>
                <w:lang w:val="en-US" w:eastAsia="zh-CN"/>
              </w:rPr>
            </w:pPr>
            <w:r>
              <w:rPr>
                <w:rFonts w:hint="eastAsia"/>
                <w:vertAlign w:val="baseline"/>
                <w:lang w:val="en-US" w:eastAsia="zh-CN"/>
              </w:rPr>
              <w:t>默认</w:t>
            </w:r>
          </w:p>
        </w:tc>
        <w:tc>
          <w:tcPr>
            <w:tcW w:w="1065" w:type="dxa"/>
            <w:noWrap w:val="0"/>
            <w:vAlign w:val="top"/>
          </w:tcPr>
          <w:p>
            <w:pPr>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帧尾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5" w:type="dxa"/>
            <w:noWrap w:val="0"/>
            <w:vAlign w:val="top"/>
          </w:tcPr>
          <w:p>
            <w:pPr>
              <w:rPr>
                <w:rFonts w:hint="default" w:eastAsia="宋体"/>
                <w:vertAlign w:val="baseline"/>
                <w:lang w:val="en-US" w:eastAsia="zh-CN"/>
              </w:rPr>
            </w:pPr>
            <w:r>
              <w:rPr>
                <w:rFonts w:hint="eastAsia"/>
                <w:vertAlign w:val="baseline"/>
                <w:lang w:val="en-US" w:eastAsia="zh-CN"/>
              </w:rPr>
              <w:t>0xfe</w:t>
            </w:r>
          </w:p>
        </w:tc>
        <w:tc>
          <w:tcPr>
            <w:tcW w:w="1065" w:type="dxa"/>
            <w:noWrap w:val="0"/>
            <w:vAlign w:val="top"/>
          </w:tcPr>
          <w:p>
            <w:pPr>
              <w:rPr>
                <w:rFonts w:hint="default" w:eastAsia="宋体"/>
                <w:vertAlign w:val="baseline"/>
                <w:lang w:val="en-US" w:eastAsia="zh-CN"/>
              </w:rPr>
            </w:pPr>
            <w:r>
              <w:rPr>
                <w:rFonts w:hint="eastAsia"/>
                <w:vertAlign w:val="baseline"/>
                <w:lang w:val="en-US" w:eastAsia="zh-CN"/>
              </w:rPr>
              <w:t>0x01</w:t>
            </w:r>
          </w:p>
        </w:tc>
        <w:tc>
          <w:tcPr>
            <w:tcW w:w="1065" w:type="dxa"/>
            <w:noWrap w:val="0"/>
            <w:vAlign w:val="top"/>
          </w:tcPr>
          <w:p>
            <w:pPr>
              <w:rPr>
                <w:rFonts w:hint="default" w:eastAsia="宋体"/>
                <w:vertAlign w:val="baseline"/>
                <w:lang w:val="en-US" w:eastAsia="zh-CN"/>
              </w:rPr>
            </w:pPr>
          </w:p>
        </w:tc>
        <w:tc>
          <w:tcPr>
            <w:tcW w:w="1065" w:type="dxa"/>
            <w:noWrap w:val="0"/>
            <w:vAlign w:val="top"/>
          </w:tcPr>
          <w:p>
            <w:pPr>
              <w:rPr>
                <w:rFonts w:hint="default" w:eastAsia="宋体"/>
                <w:vertAlign w:val="baseline"/>
                <w:lang w:val="en-US" w:eastAsia="zh-CN"/>
              </w:rPr>
            </w:pPr>
            <w:r>
              <w:rPr>
                <w:rFonts w:hint="eastAsia"/>
                <w:vertAlign w:val="baseline"/>
                <w:lang w:val="en-US" w:eastAsia="zh-CN"/>
              </w:rPr>
              <w:t>0x00</w:t>
            </w:r>
          </w:p>
        </w:tc>
        <w:tc>
          <w:tcPr>
            <w:tcW w:w="1065" w:type="dxa"/>
            <w:noWrap w:val="0"/>
            <w:vAlign w:val="top"/>
          </w:tcPr>
          <w:p>
            <w:pPr>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0x00</w:t>
            </w:r>
          </w:p>
        </w:tc>
        <w:tc>
          <w:tcPr>
            <w:tcW w:w="1065" w:type="dxa"/>
            <w:noWrap w:val="0"/>
            <w:vAlign w:val="top"/>
          </w:tcPr>
          <w:p>
            <w:pPr>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0x00</w:t>
            </w:r>
          </w:p>
        </w:tc>
        <w:tc>
          <w:tcPr>
            <w:tcW w:w="1065" w:type="dxa"/>
            <w:noWrap w:val="0"/>
            <w:vAlign w:val="top"/>
          </w:tcPr>
          <w:p>
            <w:pPr>
              <w:rPr>
                <w:vertAlign w:val="baseline"/>
              </w:rPr>
            </w:pPr>
            <w:r>
              <w:rPr>
                <w:rFonts w:hint="eastAsia"/>
                <w:vertAlign w:val="baseline"/>
                <w:lang w:val="en-US" w:eastAsia="zh-CN"/>
              </w:rPr>
              <w:t>0x00</w:t>
            </w:r>
          </w:p>
        </w:tc>
        <w:tc>
          <w:tcPr>
            <w:tcW w:w="1065" w:type="dxa"/>
            <w:noWrap w:val="0"/>
            <w:vAlign w:val="top"/>
          </w:tcPr>
          <w:p>
            <w:pPr>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0xAB</w:t>
            </w:r>
          </w:p>
        </w:tc>
      </w:tr>
      <w:bookmarkEnd w:id="0"/>
    </w:tbl>
    <w:p>
      <w:pPr>
        <w:numPr>
          <w:ilvl w:val="0"/>
          <w:numId w:val="0"/>
        </w:numPr>
        <w:rPr>
          <w:rFonts w:hint="default"/>
          <w:vertAlign w:val="baseline"/>
          <w:lang w:val="en-US" w:eastAsia="zh-CN"/>
        </w:rPr>
      </w:pPr>
      <w:r>
        <w:rPr>
          <w:rFonts w:hint="eastAsia"/>
          <w:lang w:val="en-US" w:eastAsia="zh-CN"/>
        </w:rPr>
        <w:t xml:space="preserve"> 返回数据</w:t>
      </w:r>
    </w:p>
    <w:tbl>
      <w:tblPr>
        <w:tblStyle w:val="5"/>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895"/>
        <w:gridCol w:w="1085"/>
        <w:gridCol w:w="1071"/>
        <w:gridCol w:w="1058"/>
        <w:gridCol w:w="1058"/>
        <w:gridCol w:w="1071"/>
        <w:gridCol w:w="1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帧头</w:t>
            </w:r>
          </w:p>
        </w:tc>
        <w:tc>
          <w:tcPr>
            <w:tcW w:w="895" w:type="dxa"/>
            <w:noWrap w:val="0"/>
            <w:vAlign w:val="top"/>
          </w:tcPr>
          <w:p>
            <w:pPr>
              <w:numPr>
                <w:ilvl w:val="0"/>
                <w:numId w:val="0"/>
              </w:numPr>
              <w:rPr>
                <w:rFonts w:hint="default"/>
                <w:vertAlign w:val="baseline"/>
                <w:lang w:val="en-US" w:eastAsia="zh-CN"/>
              </w:rPr>
            </w:pPr>
            <w:r>
              <w:rPr>
                <w:rFonts w:hint="eastAsia"/>
                <w:vertAlign w:val="baseline"/>
                <w:lang w:val="en-US" w:eastAsia="zh-CN"/>
              </w:rPr>
              <w:t>Cmd</w:t>
            </w:r>
          </w:p>
        </w:tc>
        <w:tc>
          <w:tcPr>
            <w:tcW w:w="1085" w:type="dxa"/>
            <w:noWrap w:val="0"/>
            <w:vAlign w:val="top"/>
          </w:tcPr>
          <w:p>
            <w:pPr>
              <w:numPr>
                <w:ilvl w:val="0"/>
                <w:numId w:val="0"/>
              </w:numPr>
              <w:rPr>
                <w:rFonts w:hint="default"/>
                <w:vertAlign w:val="baseline"/>
                <w:lang w:val="en-US" w:eastAsia="zh-CN"/>
              </w:rPr>
            </w:pPr>
            <w:r>
              <w:rPr>
                <w:rFonts w:hint="eastAsia"/>
                <w:vertAlign w:val="baseline"/>
                <w:lang w:val="en-US" w:eastAsia="zh-CN"/>
              </w:rPr>
              <w:t>寄存器</w:t>
            </w:r>
          </w:p>
        </w:tc>
        <w:tc>
          <w:tcPr>
            <w:tcW w:w="1071" w:type="dxa"/>
            <w:noWrap w:val="0"/>
            <w:vAlign w:val="top"/>
          </w:tcPr>
          <w:p>
            <w:pPr>
              <w:numPr>
                <w:ilvl w:val="0"/>
                <w:numId w:val="0"/>
              </w:numPr>
              <w:rPr>
                <w:rFonts w:hint="default"/>
                <w:vertAlign w:val="baseline"/>
                <w:lang w:val="en-US" w:eastAsia="zh-CN"/>
              </w:rPr>
            </w:pPr>
            <w:r>
              <w:rPr>
                <w:rFonts w:hint="eastAsia"/>
                <w:vertAlign w:val="baseline"/>
                <w:lang w:val="en-US" w:eastAsia="zh-CN"/>
              </w:rPr>
              <w:t>数据1高</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 xml:space="preserve">数据1低 </w:t>
            </w:r>
          </w:p>
        </w:tc>
        <w:tc>
          <w:tcPr>
            <w:tcW w:w="1058"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数据2高</w:t>
            </w:r>
          </w:p>
        </w:tc>
        <w:tc>
          <w:tcPr>
            <w:tcW w:w="1071"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 xml:space="preserve">数据2低 </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帧尾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0xfe</w:t>
            </w:r>
          </w:p>
        </w:tc>
        <w:tc>
          <w:tcPr>
            <w:tcW w:w="895" w:type="dxa"/>
            <w:noWrap w:val="0"/>
            <w:vAlign w:val="top"/>
          </w:tcPr>
          <w:p>
            <w:pPr>
              <w:numPr>
                <w:ilvl w:val="0"/>
                <w:numId w:val="0"/>
              </w:numPr>
              <w:rPr>
                <w:rFonts w:hint="default"/>
                <w:vertAlign w:val="baseline"/>
                <w:lang w:val="en-US" w:eastAsia="zh-CN"/>
              </w:rPr>
            </w:pPr>
            <w:r>
              <w:rPr>
                <w:rFonts w:hint="eastAsia"/>
                <w:vertAlign w:val="baseline"/>
                <w:lang w:val="en-US" w:eastAsia="zh-CN"/>
              </w:rPr>
              <w:t>0x01</w:t>
            </w:r>
          </w:p>
        </w:tc>
        <w:tc>
          <w:tcPr>
            <w:tcW w:w="1085" w:type="dxa"/>
            <w:noWrap w:val="0"/>
            <w:vAlign w:val="top"/>
          </w:tcPr>
          <w:p>
            <w:pPr>
              <w:numPr>
                <w:ilvl w:val="0"/>
                <w:numId w:val="0"/>
              </w:numPr>
              <w:rPr>
                <w:rFonts w:hint="default"/>
                <w:vertAlign w:val="baseline"/>
                <w:lang w:val="en-US" w:eastAsia="zh-CN"/>
              </w:rPr>
            </w:pPr>
          </w:p>
        </w:tc>
        <w:tc>
          <w:tcPr>
            <w:tcW w:w="1071" w:type="dxa"/>
            <w:noWrap w:val="0"/>
            <w:vAlign w:val="top"/>
          </w:tcPr>
          <w:p>
            <w:pPr>
              <w:numPr>
                <w:ilvl w:val="0"/>
                <w:numId w:val="0"/>
              </w:numPr>
              <w:rPr>
                <w:rFonts w:hint="default"/>
                <w:vertAlign w:val="baseline"/>
                <w:lang w:val="en-US" w:eastAsia="zh-CN"/>
              </w:rPr>
            </w:pPr>
          </w:p>
        </w:tc>
        <w:tc>
          <w:tcPr>
            <w:tcW w:w="1058" w:type="dxa"/>
            <w:noWrap w:val="0"/>
            <w:vAlign w:val="top"/>
          </w:tcPr>
          <w:p>
            <w:pPr>
              <w:numPr>
                <w:ilvl w:val="0"/>
                <w:numId w:val="0"/>
              </w:numPr>
              <w:rPr>
                <w:rFonts w:hint="default"/>
                <w:vertAlign w:val="baseline"/>
                <w:lang w:val="en-US" w:eastAsia="zh-CN"/>
              </w:rPr>
            </w:pPr>
          </w:p>
        </w:tc>
        <w:tc>
          <w:tcPr>
            <w:tcW w:w="1058"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p>
        </w:tc>
        <w:tc>
          <w:tcPr>
            <w:tcW w:w="1071"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0xAB</w:t>
            </w:r>
          </w:p>
        </w:tc>
      </w:tr>
    </w:tbl>
    <w:p>
      <w:pPr>
        <w:numPr>
          <w:ilvl w:val="0"/>
          <w:numId w:val="0"/>
        </w:numPr>
        <w:rPr>
          <w:rFonts w:hint="default"/>
          <w:lang w:val="en-US" w:eastAsia="zh-CN"/>
        </w:rPr>
      </w:pPr>
    </w:p>
    <w:p>
      <w:pPr>
        <w:numPr>
          <w:ilvl w:val="0"/>
          <w:numId w:val="5"/>
        </w:numPr>
        <w:rPr>
          <w:rFonts w:hint="eastAsia"/>
          <w:b/>
          <w:bCs/>
          <w:lang w:val="en-US" w:eastAsia="zh-CN"/>
        </w:rPr>
      </w:pPr>
      <w:r>
        <w:rPr>
          <w:rFonts w:hint="eastAsia"/>
          <w:b/>
          <w:bCs/>
          <w:lang w:val="en-US" w:eastAsia="zh-CN"/>
        </w:rPr>
        <w:t>写入寄存器配置</w:t>
      </w:r>
    </w:p>
    <w:tbl>
      <w:tblPr>
        <w:tblStyle w:val="5"/>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895"/>
        <w:gridCol w:w="1085"/>
        <w:gridCol w:w="1071"/>
        <w:gridCol w:w="1058"/>
        <w:gridCol w:w="1058"/>
        <w:gridCol w:w="1071"/>
        <w:gridCol w:w="1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帧头</w:t>
            </w:r>
          </w:p>
        </w:tc>
        <w:tc>
          <w:tcPr>
            <w:tcW w:w="895" w:type="dxa"/>
            <w:noWrap w:val="0"/>
            <w:vAlign w:val="top"/>
          </w:tcPr>
          <w:p>
            <w:pPr>
              <w:numPr>
                <w:ilvl w:val="0"/>
                <w:numId w:val="0"/>
              </w:numPr>
              <w:rPr>
                <w:rFonts w:hint="default"/>
                <w:vertAlign w:val="baseline"/>
                <w:lang w:val="en-US" w:eastAsia="zh-CN"/>
              </w:rPr>
            </w:pPr>
            <w:r>
              <w:rPr>
                <w:rFonts w:hint="eastAsia"/>
                <w:vertAlign w:val="baseline"/>
                <w:lang w:val="en-US" w:eastAsia="zh-CN"/>
              </w:rPr>
              <w:t>Cmd</w:t>
            </w:r>
          </w:p>
        </w:tc>
        <w:tc>
          <w:tcPr>
            <w:tcW w:w="1085" w:type="dxa"/>
            <w:noWrap w:val="0"/>
            <w:vAlign w:val="top"/>
          </w:tcPr>
          <w:p>
            <w:pPr>
              <w:numPr>
                <w:ilvl w:val="0"/>
                <w:numId w:val="0"/>
              </w:numPr>
              <w:rPr>
                <w:rFonts w:hint="default"/>
                <w:vertAlign w:val="baseline"/>
                <w:lang w:val="en-US" w:eastAsia="zh-CN"/>
              </w:rPr>
            </w:pPr>
            <w:r>
              <w:rPr>
                <w:rFonts w:hint="eastAsia"/>
                <w:vertAlign w:val="baseline"/>
                <w:lang w:val="en-US" w:eastAsia="zh-CN"/>
              </w:rPr>
              <w:t>寄存器</w:t>
            </w:r>
          </w:p>
        </w:tc>
        <w:tc>
          <w:tcPr>
            <w:tcW w:w="1071" w:type="dxa"/>
            <w:noWrap w:val="0"/>
            <w:vAlign w:val="top"/>
          </w:tcPr>
          <w:p>
            <w:pPr>
              <w:numPr>
                <w:ilvl w:val="0"/>
                <w:numId w:val="0"/>
              </w:numPr>
              <w:rPr>
                <w:rFonts w:hint="default"/>
                <w:vertAlign w:val="baseline"/>
                <w:lang w:val="en-US" w:eastAsia="zh-CN"/>
              </w:rPr>
            </w:pPr>
            <w:r>
              <w:rPr>
                <w:rFonts w:hint="eastAsia"/>
                <w:vertAlign w:val="baseline"/>
                <w:lang w:val="en-US" w:eastAsia="zh-CN"/>
              </w:rPr>
              <w:t>数据1高</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 xml:space="preserve">数据1低 </w:t>
            </w:r>
          </w:p>
        </w:tc>
        <w:tc>
          <w:tcPr>
            <w:tcW w:w="1058"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数据2高</w:t>
            </w:r>
          </w:p>
        </w:tc>
        <w:tc>
          <w:tcPr>
            <w:tcW w:w="1071"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 xml:space="preserve">数据2低 </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帧尾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0xfe</w:t>
            </w:r>
          </w:p>
        </w:tc>
        <w:tc>
          <w:tcPr>
            <w:tcW w:w="895" w:type="dxa"/>
            <w:noWrap w:val="0"/>
            <w:vAlign w:val="top"/>
          </w:tcPr>
          <w:p>
            <w:pPr>
              <w:numPr>
                <w:ilvl w:val="0"/>
                <w:numId w:val="0"/>
              </w:numPr>
              <w:rPr>
                <w:rFonts w:hint="default"/>
                <w:vertAlign w:val="baseline"/>
                <w:lang w:val="en-US" w:eastAsia="zh-CN"/>
              </w:rPr>
            </w:pPr>
            <w:r>
              <w:rPr>
                <w:rFonts w:hint="eastAsia"/>
                <w:vertAlign w:val="baseline"/>
                <w:lang w:val="en-US" w:eastAsia="zh-CN"/>
              </w:rPr>
              <w:t>0x02</w:t>
            </w:r>
          </w:p>
        </w:tc>
        <w:tc>
          <w:tcPr>
            <w:tcW w:w="1085" w:type="dxa"/>
            <w:noWrap w:val="0"/>
            <w:vAlign w:val="top"/>
          </w:tcPr>
          <w:p>
            <w:pPr>
              <w:numPr>
                <w:ilvl w:val="0"/>
                <w:numId w:val="0"/>
              </w:numPr>
              <w:rPr>
                <w:rFonts w:hint="default"/>
                <w:vertAlign w:val="baseline"/>
                <w:lang w:val="en-US" w:eastAsia="zh-CN"/>
              </w:rPr>
            </w:pPr>
          </w:p>
        </w:tc>
        <w:tc>
          <w:tcPr>
            <w:tcW w:w="1071" w:type="dxa"/>
            <w:noWrap w:val="0"/>
            <w:vAlign w:val="top"/>
          </w:tcPr>
          <w:p>
            <w:pPr>
              <w:numPr>
                <w:ilvl w:val="0"/>
                <w:numId w:val="0"/>
              </w:numPr>
              <w:rPr>
                <w:rFonts w:hint="default"/>
                <w:vertAlign w:val="baseline"/>
                <w:lang w:val="en-US" w:eastAsia="zh-CN"/>
              </w:rPr>
            </w:pPr>
          </w:p>
        </w:tc>
        <w:tc>
          <w:tcPr>
            <w:tcW w:w="1058" w:type="dxa"/>
            <w:noWrap w:val="0"/>
            <w:vAlign w:val="top"/>
          </w:tcPr>
          <w:p>
            <w:pPr>
              <w:numPr>
                <w:ilvl w:val="0"/>
                <w:numId w:val="0"/>
              </w:numPr>
              <w:rPr>
                <w:rFonts w:hint="default"/>
                <w:vertAlign w:val="baseline"/>
                <w:lang w:val="en-US" w:eastAsia="zh-CN"/>
              </w:rPr>
            </w:pPr>
          </w:p>
        </w:tc>
        <w:tc>
          <w:tcPr>
            <w:tcW w:w="1058"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p>
        </w:tc>
        <w:tc>
          <w:tcPr>
            <w:tcW w:w="1071"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0xAB</w:t>
            </w:r>
          </w:p>
        </w:tc>
      </w:tr>
    </w:tbl>
    <w:p>
      <w:pPr>
        <w:numPr>
          <w:ilvl w:val="0"/>
          <w:numId w:val="0"/>
        </w:numPr>
        <w:rPr>
          <w:rFonts w:hint="default"/>
          <w:lang w:val="en-US" w:eastAsia="zh-CN"/>
        </w:rPr>
      </w:pPr>
      <w:r>
        <w:rPr>
          <w:rFonts w:hint="eastAsia"/>
          <w:lang w:val="en-US" w:eastAsia="zh-CN"/>
        </w:rPr>
        <w:t>返回数据</w:t>
      </w:r>
    </w:p>
    <w:tbl>
      <w:tblPr>
        <w:tblStyle w:val="5"/>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895"/>
        <w:gridCol w:w="1085"/>
        <w:gridCol w:w="1071"/>
        <w:gridCol w:w="1058"/>
        <w:gridCol w:w="1058"/>
        <w:gridCol w:w="1071"/>
        <w:gridCol w:w="1058"/>
      </w:tblGrid>
      <w:tr>
        <w:tblPrEx>
          <w:tblCellMar>
            <w:top w:w="0" w:type="dxa"/>
            <w:left w:w="108" w:type="dxa"/>
            <w:bottom w:w="0" w:type="dxa"/>
            <w:right w:w="108" w:type="dxa"/>
          </w:tblCellMar>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帧头</w:t>
            </w:r>
          </w:p>
        </w:tc>
        <w:tc>
          <w:tcPr>
            <w:tcW w:w="895" w:type="dxa"/>
            <w:noWrap w:val="0"/>
            <w:vAlign w:val="top"/>
          </w:tcPr>
          <w:p>
            <w:pPr>
              <w:numPr>
                <w:ilvl w:val="0"/>
                <w:numId w:val="0"/>
              </w:numPr>
              <w:rPr>
                <w:rFonts w:hint="default"/>
                <w:vertAlign w:val="baseline"/>
                <w:lang w:val="en-US" w:eastAsia="zh-CN"/>
              </w:rPr>
            </w:pPr>
            <w:r>
              <w:rPr>
                <w:rFonts w:hint="eastAsia"/>
                <w:vertAlign w:val="baseline"/>
                <w:lang w:val="en-US" w:eastAsia="zh-CN"/>
              </w:rPr>
              <w:t>Cmd</w:t>
            </w:r>
          </w:p>
        </w:tc>
        <w:tc>
          <w:tcPr>
            <w:tcW w:w="1085" w:type="dxa"/>
            <w:noWrap w:val="0"/>
            <w:vAlign w:val="top"/>
          </w:tcPr>
          <w:p>
            <w:pPr>
              <w:numPr>
                <w:ilvl w:val="0"/>
                <w:numId w:val="0"/>
              </w:numPr>
              <w:rPr>
                <w:rFonts w:hint="default"/>
                <w:vertAlign w:val="baseline"/>
                <w:lang w:val="en-US" w:eastAsia="zh-CN"/>
              </w:rPr>
            </w:pPr>
            <w:r>
              <w:rPr>
                <w:rFonts w:hint="eastAsia"/>
                <w:vertAlign w:val="baseline"/>
                <w:lang w:val="en-US" w:eastAsia="zh-CN"/>
              </w:rPr>
              <w:t>寄存器</w:t>
            </w:r>
          </w:p>
        </w:tc>
        <w:tc>
          <w:tcPr>
            <w:tcW w:w="1071" w:type="dxa"/>
            <w:noWrap w:val="0"/>
            <w:vAlign w:val="top"/>
          </w:tcPr>
          <w:p>
            <w:pPr>
              <w:numPr>
                <w:ilvl w:val="0"/>
                <w:numId w:val="0"/>
              </w:numPr>
              <w:rPr>
                <w:rFonts w:hint="default"/>
                <w:vertAlign w:val="baseline"/>
                <w:lang w:val="en-US" w:eastAsia="zh-CN"/>
              </w:rPr>
            </w:pPr>
            <w:r>
              <w:rPr>
                <w:rFonts w:hint="eastAsia"/>
                <w:vertAlign w:val="baseline"/>
                <w:lang w:val="en-US" w:eastAsia="zh-CN"/>
              </w:rPr>
              <w:t>数据1高</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 xml:space="preserve">数据1低 </w:t>
            </w:r>
          </w:p>
        </w:tc>
        <w:tc>
          <w:tcPr>
            <w:tcW w:w="1058"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数据2高</w:t>
            </w:r>
          </w:p>
        </w:tc>
        <w:tc>
          <w:tcPr>
            <w:tcW w:w="1071"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 xml:space="preserve">数据2低 </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帧尾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0xfe</w:t>
            </w:r>
          </w:p>
        </w:tc>
        <w:tc>
          <w:tcPr>
            <w:tcW w:w="895" w:type="dxa"/>
            <w:noWrap w:val="0"/>
            <w:vAlign w:val="top"/>
          </w:tcPr>
          <w:p>
            <w:pPr>
              <w:numPr>
                <w:ilvl w:val="0"/>
                <w:numId w:val="0"/>
              </w:numPr>
              <w:rPr>
                <w:rFonts w:hint="default"/>
                <w:vertAlign w:val="baseline"/>
                <w:lang w:val="en-US" w:eastAsia="zh-CN"/>
              </w:rPr>
            </w:pPr>
            <w:r>
              <w:rPr>
                <w:rFonts w:hint="eastAsia"/>
                <w:vertAlign w:val="baseline"/>
                <w:lang w:val="en-US" w:eastAsia="zh-CN"/>
              </w:rPr>
              <w:t>0x02</w:t>
            </w:r>
          </w:p>
        </w:tc>
        <w:tc>
          <w:tcPr>
            <w:tcW w:w="1085" w:type="dxa"/>
            <w:noWrap w:val="0"/>
            <w:vAlign w:val="top"/>
          </w:tcPr>
          <w:p>
            <w:pPr>
              <w:numPr>
                <w:ilvl w:val="0"/>
                <w:numId w:val="0"/>
              </w:numPr>
              <w:rPr>
                <w:rFonts w:hint="default"/>
                <w:vertAlign w:val="baseline"/>
                <w:lang w:val="en-US" w:eastAsia="zh-CN"/>
              </w:rPr>
            </w:pPr>
          </w:p>
        </w:tc>
        <w:tc>
          <w:tcPr>
            <w:tcW w:w="1071" w:type="dxa"/>
            <w:noWrap w:val="0"/>
            <w:vAlign w:val="top"/>
          </w:tcPr>
          <w:p>
            <w:pPr>
              <w:numPr>
                <w:ilvl w:val="0"/>
                <w:numId w:val="0"/>
              </w:numPr>
              <w:rPr>
                <w:rFonts w:hint="default"/>
                <w:vertAlign w:val="baseline"/>
                <w:lang w:val="en-US" w:eastAsia="zh-CN"/>
              </w:rPr>
            </w:pPr>
          </w:p>
        </w:tc>
        <w:tc>
          <w:tcPr>
            <w:tcW w:w="1058" w:type="dxa"/>
            <w:noWrap w:val="0"/>
            <w:vAlign w:val="top"/>
          </w:tcPr>
          <w:p>
            <w:pPr>
              <w:numPr>
                <w:ilvl w:val="0"/>
                <w:numId w:val="0"/>
              </w:numPr>
              <w:rPr>
                <w:rFonts w:hint="default"/>
                <w:vertAlign w:val="baseline"/>
                <w:lang w:val="en-US" w:eastAsia="zh-CN"/>
              </w:rPr>
            </w:pPr>
          </w:p>
        </w:tc>
        <w:tc>
          <w:tcPr>
            <w:tcW w:w="1058"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p>
        </w:tc>
        <w:tc>
          <w:tcPr>
            <w:tcW w:w="1071"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0xAB</w:t>
            </w:r>
          </w:p>
        </w:tc>
      </w:tr>
    </w:tbl>
    <w:p>
      <w:pPr>
        <w:numPr>
          <w:ilvl w:val="0"/>
          <w:numId w:val="0"/>
        </w:numPr>
        <w:rPr>
          <w:rFonts w:hint="eastAsia"/>
          <w:lang w:val="en-US" w:eastAsia="zh-CN"/>
        </w:rPr>
      </w:pPr>
    </w:p>
    <w:p>
      <w:pPr>
        <w:numPr>
          <w:ilvl w:val="0"/>
          <w:numId w:val="0"/>
        </w:numPr>
        <w:rPr>
          <w:rFonts w:hint="eastAsia"/>
          <w:b/>
          <w:bCs/>
          <w:lang w:val="en-US" w:eastAsia="zh-CN"/>
        </w:rPr>
      </w:pPr>
      <w:r>
        <w:rPr>
          <w:rFonts w:hint="eastAsia"/>
          <w:b/>
          <w:bCs/>
          <w:lang w:val="en-US" w:eastAsia="zh-CN"/>
        </w:rPr>
        <w:t>寄存器说明：</w:t>
      </w:r>
    </w:p>
    <w:tbl>
      <w:tblPr>
        <w:tblStyle w:val="5"/>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2143"/>
        <w:gridCol w:w="1915"/>
        <w:gridCol w:w="3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寄存器地址</w:t>
            </w:r>
          </w:p>
        </w:tc>
        <w:tc>
          <w:tcPr>
            <w:tcW w:w="2143" w:type="dxa"/>
            <w:noWrap w:val="0"/>
            <w:vAlign w:val="top"/>
          </w:tcPr>
          <w:p>
            <w:pPr>
              <w:numPr>
                <w:ilvl w:val="0"/>
                <w:numId w:val="0"/>
              </w:numPr>
              <w:rPr>
                <w:rFonts w:hint="default"/>
                <w:vertAlign w:val="baseline"/>
                <w:lang w:val="en-US" w:eastAsia="zh-CN"/>
              </w:rPr>
            </w:pPr>
            <w:bookmarkStart w:id="1" w:name="OLE_LINK2"/>
            <w:r>
              <w:rPr>
                <w:rFonts w:hint="eastAsia"/>
                <w:vertAlign w:val="baseline"/>
                <w:lang w:val="en-US" w:eastAsia="zh-CN"/>
              </w:rPr>
              <w:t>寄存器数据1</w:t>
            </w:r>
            <w:bookmarkEnd w:id="1"/>
          </w:p>
        </w:tc>
        <w:tc>
          <w:tcPr>
            <w:tcW w:w="1915" w:type="dxa"/>
            <w:noWrap w:val="0"/>
            <w:vAlign w:val="top"/>
          </w:tcPr>
          <w:p>
            <w:pPr>
              <w:numPr>
                <w:ilvl w:val="0"/>
                <w:numId w:val="0"/>
              </w:numPr>
              <w:rPr>
                <w:rFonts w:hint="default"/>
                <w:vertAlign w:val="baseline"/>
                <w:lang w:val="en-US" w:eastAsia="zh-CN"/>
              </w:rPr>
            </w:pPr>
            <w:r>
              <w:rPr>
                <w:rFonts w:hint="eastAsia"/>
                <w:vertAlign w:val="baseline"/>
                <w:lang w:val="en-US" w:eastAsia="zh-CN"/>
              </w:rPr>
              <w:t>寄存器数据2</w:t>
            </w: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寄存器说明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0X10</w:t>
            </w:r>
          </w:p>
        </w:tc>
        <w:tc>
          <w:tcPr>
            <w:tcW w:w="2143" w:type="dxa"/>
            <w:noWrap w:val="0"/>
            <w:vAlign w:val="top"/>
          </w:tcPr>
          <w:p>
            <w:pPr>
              <w:numPr>
                <w:ilvl w:val="0"/>
                <w:numId w:val="0"/>
              </w:numPr>
              <w:rPr>
                <w:rFonts w:hint="default" w:eastAsia="宋体"/>
                <w:vertAlign w:val="baseline"/>
                <w:lang w:val="en-US" w:eastAsia="zh-CN"/>
              </w:rPr>
            </w:pPr>
            <w:r>
              <w:rPr>
                <w:rFonts w:hint="eastAsia" w:ascii="Consolas" w:hAnsi="Consolas"/>
                <w:color w:val="000000"/>
                <w:sz w:val="20"/>
                <w:szCs w:val="24"/>
                <w:lang w:val="en-US" w:eastAsia="zh-CN"/>
              </w:rPr>
              <w:t>ADC1</w:t>
            </w:r>
          </w:p>
        </w:tc>
        <w:tc>
          <w:tcPr>
            <w:tcW w:w="1915" w:type="dxa"/>
            <w:noWrap w:val="0"/>
            <w:vAlign w:val="top"/>
          </w:tcPr>
          <w:p>
            <w:pPr>
              <w:numPr>
                <w:ilvl w:val="0"/>
                <w:numId w:val="0"/>
              </w:numPr>
              <w:rPr>
                <w:rFonts w:hint="eastAsia" w:ascii="Consolas" w:hAnsi="Consolas"/>
                <w:color w:val="000000"/>
                <w:sz w:val="20"/>
                <w:szCs w:val="24"/>
                <w:lang w:val="en-US" w:eastAsia="zh-CN"/>
              </w:rPr>
            </w:pPr>
            <w:r>
              <w:rPr>
                <w:rFonts w:hint="eastAsia" w:ascii="Consolas" w:hAnsi="Consolas"/>
                <w:color w:val="000000"/>
                <w:sz w:val="20"/>
                <w:szCs w:val="24"/>
                <w:lang w:val="en-US" w:eastAsia="zh-CN"/>
              </w:rPr>
              <w:t>ADC2</w:t>
            </w: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两路mems的数据（只读）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0X11</w:t>
            </w:r>
          </w:p>
        </w:tc>
        <w:tc>
          <w:tcPr>
            <w:tcW w:w="2143" w:type="dxa"/>
            <w:noWrap w:val="0"/>
            <w:vAlign w:val="top"/>
          </w:tcPr>
          <w:p>
            <w:pPr>
              <w:numPr>
                <w:ilvl w:val="0"/>
                <w:numId w:val="0"/>
              </w:numPr>
              <w:rPr>
                <w:rFonts w:hint="eastAsia"/>
                <w:vertAlign w:val="baseline"/>
                <w:lang w:val="en-US" w:eastAsia="zh-CN"/>
              </w:rPr>
            </w:pPr>
            <w:r>
              <w:rPr>
                <w:rFonts w:hint="eastAsia" w:ascii="Consolas" w:hAnsi="Consolas"/>
                <w:color w:val="000000"/>
                <w:sz w:val="20"/>
                <w:szCs w:val="24"/>
                <w:lang w:val="en-US" w:eastAsia="zh-CN"/>
              </w:rPr>
              <w:t>ADC3</w:t>
            </w:r>
          </w:p>
        </w:tc>
        <w:tc>
          <w:tcPr>
            <w:tcW w:w="1915" w:type="dxa"/>
            <w:noWrap w:val="0"/>
            <w:vAlign w:val="top"/>
          </w:tcPr>
          <w:p>
            <w:pPr>
              <w:numPr>
                <w:ilvl w:val="0"/>
                <w:numId w:val="0"/>
              </w:numPr>
              <w:rPr>
                <w:rFonts w:hint="default" w:ascii="Consolas" w:hAnsi="Consolas" w:eastAsia="Consolas"/>
                <w:color w:val="000000"/>
                <w:sz w:val="20"/>
                <w:szCs w:val="24"/>
              </w:rPr>
            </w:pPr>
            <w:r>
              <w:rPr>
                <w:rFonts w:hint="eastAsia" w:ascii="Consolas" w:hAnsi="Consolas"/>
                <w:color w:val="000000"/>
                <w:sz w:val="20"/>
                <w:szCs w:val="24"/>
                <w:lang w:val="en-US" w:eastAsia="zh-CN"/>
              </w:rPr>
              <w:t>ADC4</w:t>
            </w: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两路mems的数据（只读）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0x12</w:t>
            </w:r>
          </w:p>
        </w:tc>
        <w:tc>
          <w:tcPr>
            <w:tcW w:w="2143" w:type="dxa"/>
            <w:noWrap w:val="0"/>
            <w:vAlign w:val="top"/>
          </w:tcPr>
          <w:p>
            <w:pPr>
              <w:numPr>
                <w:ilvl w:val="0"/>
                <w:numId w:val="0"/>
              </w:numPr>
              <w:rPr>
                <w:rFonts w:hint="default" w:eastAsia="宋体"/>
                <w:vertAlign w:val="baseline"/>
                <w:lang w:val="en-US" w:eastAsia="zh-CN"/>
              </w:rPr>
            </w:pPr>
            <w:r>
              <w:rPr>
                <w:rFonts w:hint="eastAsia"/>
                <w:vertAlign w:val="baseline"/>
                <w:lang w:val="en-US" w:eastAsia="zh-CN"/>
              </w:rPr>
              <w:t>温度1</w:t>
            </w:r>
          </w:p>
        </w:tc>
        <w:tc>
          <w:tcPr>
            <w:tcW w:w="1915" w:type="dxa"/>
            <w:noWrap w:val="0"/>
            <w:vAlign w:val="top"/>
          </w:tcPr>
          <w:p>
            <w:pPr>
              <w:numPr>
                <w:ilvl w:val="0"/>
                <w:numId w:val="0"/>
              </w:numPr>
              <w:rPr>
                <w:rFonts w:hint="default" w:ascii="Consolas" w:hAnsi="Consolas" w:eastAsia="宋体"/>
                <w:color w:val="000000"/>
                <w:sz w:val="20"/>
                <w:szCs w:val="24"/>
                <w:lang w:val="en-US" w:eastAsia="zh-CN"/>
              </w:rPr>
            </w:pPr>
            <w:r>
              <w:rPr>
                <w:rFonts w:hint="eastAsia" w:ascii="Consolas" w:hAnsi="Consolas"/>
                <w:color w:val="000000"/>
                <w:sz w:val="20"/>
                <w:szCs w:val="24"/>
                <w:lang w:val="en-US" w:eastAsia="zh-CN"/>
              </w:rPr>
              <w:t>温度2</w:t>
            </w: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两路温度的值（只读）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0x20</w:t>
            </w:r>
          </w:p>
        </w:tc>
        <w:tc>
          <w:tcPr>
            <w:tcW w:w="2143" w:type="dxa"/>
            <w:noWrap w:val="0"/>
            <w:vAlign w:val="top"/>
          </w:tcPr>
          <w:p>
            <w:pPr>
              <w:numPr>
                <w:ilvl w:val="0"/>
                <w:numId w:val="0"/>
              </w:numPr>
              <w:rPr>
                <w:rFonts w:hint="default" w:eastAsia="宋体"/>
                <w:vertAlign w:val="baseline"/>
                <w:lang w:val="en-US" w:eastAsia="zh-CN"/>
              </w:rPr>
            </w:pPr>
            <w:r>
              <w:rPr>
                <w:rFonts w:hint="default" w:ascii="Consolas" w:hAnsi="Consolas" w:eastAsia="Consolas"/>
                <w:color w:val="000000"/>
                <w:sz w:val="20"/>
                <w:szCs w:val="24"/>
              </w:rPr>
              <w:t>CANID</w:t>
            </w:r>
            <w:r>
              <w:rPr>
                <w:rFonts w:hint="eastAsia" w:ascii="Consolas" w:hAnsi="Consolas"/>
                <w:color w:val="000000"/>
                <w:sz w:val="20"/>
                <w:szCs w:val="24"/>
                <w:lang w:val="en-US" w:eastAsia="zh-CN"/>
              </w:rPr>
              <w:t>高16位</w:t>
            </w:r>
          </w:p>
        </w:tc>
        <w:tc>
          <w:tcPr>
            <w:tcW w:w="1915" w:type="dxa"/>
            <w:noWrap w:val="0"/>
            <w:vAlign w:val="top"/>
          </w:tcPr>
          <w:p>
            <w:pPr>
              <w:numPr>
                <w:ilvl w:val="0"/>
                <w:numId w:val="0"/>
              </w:numPr>
              <w:rPr>
                <w:rFonts w:hint="default" w:ascii="Consolas" w:hAnsi="Consolas" w:eastAsia="宋体"/>
                <w:color w:val="000000"/>
                <w:sz w:val="20"/>
                <w:szCs w:val="24"/>
                <w:lang w:val="en-US" w:eastAsia="zh-CN"/>
              </w:rPr>
            </w:pPr>
            <w:r>
              <w:rPr>
                <w:rFonts w:hint="eastAsia" w:ascii="Consolas" w:hAnsi="Consolas"/>
                <w:color w:val="000000"/>
                <w:sz w:val="20"/>
                <w:szCs w:val="24"/>
                <w:lang w:val="en-US" w:eastAsia="zh-CN"/>
              </w:rPr>
              <w:t>C</w:t>
            </w:r>
            <w:r>
              <w:rPr>
                <w:rFonts w:hint="default" w:ascii="Consolas" w:hAnsi="Consolas" w:eastAsia="Consolas"/>
                <w:color w:val="000000"/>
                <w:sz w:val="20"/>
                <w:szCs w:val="24"/>
              </w:rPr>
              <w:t>ANID</w:t>
            </w:r>
            <w:r>
              <w:rPr>
                <w:rFonts w:hint="eastAsia" w:ascii="Consolas" w:hAnsi="Consolas"/>
                <w:color w:val="000000"/>
                <w:sz w:val="20"/>
                <w:szCs w:val="24"/>
                <w:lang w:val="en-US" w:eastAsia="zh-CN"/>
              </w:rPr>
              <w:t>低16位</w:t>
            </w: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CAN总线发送的ID号（读/写）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0x21</w:t>
            </w:r>
          </w:p>
        </w:tc>
        <w:tc>
          <w:tcPr>
            <w:tcW w:w="2143" w:type="dxa"/>
            <w:noWrap w:val="0"/>
            <w:vAlign w:val="top"/>
          </w:tcPr>
          <w:p>
            <w:pPr>
              <w:numPr>
                <w:ilvl w:val="0"/>
                <w:numId w:val="0"/>
              </w:numPr>
              <w:rPr>
                <w:rFonts w:hint="eastAsia" w:eastAsia="宋体"/>
                <w:vertAlign w:val="baseline"/>
                <w:lang w:val="en-US" w:eastAsia="zh-CN"/>
              </w:rPr>
            </w:pPr>
            <w:bookmarkStart w:id="2" w:name="OLE_LINK3"/>
            <w:r>
              <w:rPr>
                <w:rFonts w:hint="default" w:ascii="Consolas" w:hAnsi="Consolas" w:eastAsia="Consolas"/>
                <w:color w:val="000000"/>
                <w:sz w:val="20"/>
                <w:szCs w:val="24"/>
              </w:rPr>
              <w:t>canBaud</w:t>
            </w:r>
            <w:bookmarkEnd w:id="2"/>
            <w:r>
              <w:rPr>
                <w:rFonts w:hint="eastAsia" w:ascii="Consolas" w:hAnsi="Consolas"/>
                <w:color w:val="000000"/>
                <w:sz w:val="20"/>
                <w:szCs w:val="24"/>
                <w:lang w:eastAsia="zh-CN"/>
              </w:rPr>
              <w:t>（</w:t>
            </w:r>
            <w:r>
              <w:rPr>
                <w:rFonts w:hint="eastAsia" w:ascii="Consolas" w:hAnsi="Consolas"/>
                <w:color w:val="000000"/>
                <w:sz w:val="20"/>
                <w:szCs w:val="24"/>
                <w:lang w:val="en-US" w:eastAsia="zh-CN"/>
              </w:rPr>
              <w:t>高八位</w:t>
            </w:r>
            <w:r>
              <w:rPr>
                <w:rFonts w:hint="eastAsia" w:ascii="Consolas" w:hAnsi="Consolas"/>
                <w:color w:val="000000"/>
                <w:sz w:val="20"/>
                <w:szCs w:val="24"/>
                <w:lang w:eastAsia="zh-CN"/>
              </w:rPr>
              <w:t>）</w:t>
            </w:r>
          </w:p>
        </w:tc>
        <w:tc>
          <w:tcPr>
            <w:tcW w:w="1915" w:type="dxa"/>
            <w:noWrap w:val="0"/>
            <w:vAlign w:val="top"/>
          </w:tcPr>
          <w:p>
            <w:pPr>
              <w:numPr>
                <w:ilvl w:val="0"/>
                <w:numId w:val="0"/>
              </w:numPr>
              <w:rPr>
                <w:rFonts w:hint="default" w:ascii="Consolas" w:hAnsi="Consolas" w:eastAsia="Consolas"/>
                <w:color w:val="000000"/>
                <w:sz w:val="20"/>
                <w:szCs w:val="24"/>
              </w:rPr>
            </w:pP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CAN总线的波特率（读/写）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0x22</w:t>
            </w:r>
          </w:p>
        </w:tc>
        <w:tc>
          <w:tcPr>
            <w:tcW w:w="2143" w:type="dxa"/>
            <w:noWrap w:val="0"/>
            <w:vAlign w:val="top"/>
          </w:tcPr>
          <w:p>
            <w:pPr>
              <w:numPr>
                <w:ilvl w:val="0"/>
                <w:numId w:val="0"/>
              </w:numPr>
              <w:rPr>
                <w:rFonts w:hint="default"/>
                <w:vertAlign w:val="baseline"/>
                <w:lang w:val="en-US" w:eastAsia="zh-CN"/>
              </w:rPr>
            </w:pPr>
            <w:r>
              <w:rPr>
                <w:rFonts w:hint="default" w:ascii="Consolas" w:hAnsi="Consolas" w:eastAsia="Consolas"/>
                <w:color w:val="000000"/>
                <w:sz w:val="20"/>
                <w:szCs w:val="24"/>
              </w:rPr>
              <w:t>can_IdHigh</w:t>
            </w:r>
          </w:p>
        </w:tc>
        <w:tc>
          <w:tcPr>
            <w:tcW w:w="1915" w:type="dxa"/>
            <w:noWrap w:val="0"/>
            <w:vAlign w:val="top"/>
          </w:tcPr>
          <w:p>
            <w:pPr>
              <w:numPr>
                <w:ilvl w:val="0"/>
                <w:numId w:val="0"/>
              </w:numPr>
              <w:rPr>
                <w:rFonts w:hint="default" w:ascii="Consolas" w:hAnsi="Consolas" w:eastAsia="Consolas"/>
                <w:color w:val="000000"/>
                <w:sz w:val="20"/>
                <w:szCs w:val="24"/>
              </w:rPr>
            </w:pPr>
            <w:r>
              <w:rPr>
                <w:rFonts w:hint="default" w:ascii="Consolas" w:hAnsi="Consolas" w:eastAsia="Consolas"/>
                <w:color w:val="000000"/>
                <w:sz w:val="20"/>
                <w:szCs w:val="24"/>
              </w:rPr>
              <w:t>can_IdLow</w:t>
            </w: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CAN过滤器标识符（读/写）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7" w:type="dxa"/>
            <w:noWrap w:val="0"/>
            <w:vAlign w:val="top"/>
          </w:tcPr>
          <w:p>
            <w:pPr>
              <w:numPr>
                <w:ilvl w:val="0"/>
                <w:numId w:val="0"/>
              </w:numPr>
              <w:rPr>
                <w:rFonts w:hint="default"/>
                <w:vertAlign w:val="baseline"/>
                <w:lang w:val="en-US" w:eastAsia="zh-CN"/>
              </w:rPr>
            </w:pPr>
            <w:r>
              <w:rPr>
                <w:rFonts w:hint="eastAsia"/>
                <w:vertAlign w:val="baseline"/>
                <w:lang w:val="en-US" w:eastAsia="zh-CN"/>
              </w:rPr>
              <w:t>0x23</w:t>
            </w:r>
          </w:p>
        </w:tc>
        <w:tc>
          <w:tcPr>
            <w:tcW w:w="2143" w:type="dxa"/>
            <w:noWrap w:val="0"/>
            <w:vAlign w:val="top"/>
          </w:tcPr>
          <w:p>
            <w:pPr>
              <w:numPr>
                <w:ilvl w:val="0"/>
                <w:numId w:val="0"/>
              </w:numPr>
              <w:rPr>
                <w:rFonts w:hint="default"/>
                <w:vertAlign w:val="baseline"/>
                <w:lang w:val="en-US" w:eastAsia="zh-CN"/>
              </w:rPr>
            </w:pPr>
            <w:r>
              <w:rPr>
                <w:rFonts w:hint="default" w:ascii="Consolas" w:hAnsi="Consolas" w:eastAsia="Consolas"/>
                <w:color w:val="000000"/>
                <w:sz w:val="20"/>
                <w:szCs w:val="24"/>
              </w:rPr>
              <w:t>MaskIdHigh</w:t>
            </w:r>
          </w:p>
        </w:tc>
        <w:tc>
          <w:tcPr>
            <w:tcW w:w="1915" w:type="dxa"/>
            <w:noWrap w:val="0"/>
            <w:vAlign w:val="top"/>
          </w:tcPr>
          <w:p>
            <w:pPr>
              <w:numPr>
                <w:ilvl w:val="0"/>
                <w:numId w:val="0"/>
              </w:numPr>
              <w:rPr>
                <w:rFonts w:hint="default" w:ascii="Consolas" w:hAnsi="Consolas" w:eastAsia="Consolas"/>
                <w:color w:val="000000"/>
                <w:sz w:val="20"/>
                <w:szCs w:val="24"/>
              </w:rPr>
            </w:pPr>
            <w:r>
              <w:rPr>
                <w:rFonts w:hint="default" w:ascii="Consolas" w:hAnsi="Consolas" w:eastAsia="Consolas"/>
                <w:color w:val="000000"/>
                <w:sz w:val="20"/>
                <w:szCs w:val="24"/>
              </w:rPr>
              <w:t>MaskIdLow</w:t>
            </w:r>
          </w:p>
        </w:tc>
        <w:tc>
          <w:tcPr>
            <w:tcW w:w="3295" w:type="dxa"/>
            <w:noWrap w:val="0"/>
            <w:vAlign w:val="top"/>
          </w:tcPr>
          <w:p>
            <w:pPr>
              <w:numPr>
                <w:ilvl w:val="0"/>
                <w:numId w:val="0"/>
              </w:numPr>
              <w:rPr>
                <w:rFonts w:hint="default"/>
                <w:vertAlign w:val="baseline"/>
                <w:lang w:val="en-US" w:eastAsia="zh-CN"/>
              </w:rPr>
            </w:pPr>
            <w:r>
              <w:rPr>
                <w:rFonts w:hint="eastAsia"/>
                <w:vertAlign w:val="baseline"/>
                <w:lang w:val="en-US" w:eastAsia="zh-CN"/>
              </w:rPr>
              <w:t>CAN过滤器屏蔽标识符（读/写）</w:t>
            </w:r>
          </w:p>
        </w:tc>
      </w:tr>
    </w:tbl>
    <w:p>
      <w:pPr>
        <w:rPr>
          <w:rFonts w:hint="default"/>
          <w:b/>
          <w:bCs/>
          <w:lang w:val="en-US" w:eastAsia="zh-CN"/>
        </w:rPr>
      </w:pPr>
      <w:r>
        <w:rPr>
          <w:rFonts w:hint="eastAsia"/>
          <w:b/>
          <w:bCs/>
          <w:lang w:val="en-US" w:eastAsia="zh-CN"/>
        </w:rPr>
        <w:t>波特率的对应值</w:t>
      </w:r>
    </w:p>
    <w:tbl>
      <w:tblPr>
        <w:tblStyle w:val="5"/>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044"/>
        <w:gridCol w:w="1044"/>
        <w:gridCol w:w="1044"/>
        <w:gridCol w:w="1044"/>
        <w:gridCol w:w="1044"/>
        <w:gridCol w:w="1044"/>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1212" w:type="dxa"/>
            <w:noWrap w:val="0"/>
            <w:vAlign w:val="top"/>
          </w:tcPr>
          <w:p>
            <w:pPr>
              <w:numPr>
                <w:ilvl w:val="0"/>
                <w:numId w:val="0"/>
              </w:numPr>
              <w:rPr>
                <w:rFonts w:hint="default"/>
                <w:vertAlign w:val="baseline"/>
                <w:lang w:val="en-US" w:eastAsia="zh-CN"/>
              </w:rPr>
            </w:pPr>
            <w:r>
              <w:rPr>
                <w:rFonts w:hint="default" w:ascii="Consolas" w:hAnsi="Consolas" w:eastAsia="Consolas"/>
                <w:color w:val="000000"/>
                <w:sz w:val="20"/>
                <w:szCs w:val="24"/>
              </w:rPr>
              <w:t>canBaud</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1</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2</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3</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4</w:t>
            </w:r>
          </w:p>
        </w:tc>
        <w:tc>
          <w:tcPr>
            <w:tcW w:w="1044"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5</w:t>
            </w:r>
          </w:p>
        </w:tc>
        <w:tc>
          <w:tcPr>
            <w:tcW w:w="1044" w:type="dxa"/>
            <w:noWrap w:val="0"/>
            <w:vAlign w:val="top"/>
          </w:tcPr>
          <w:p>
            <w:pPr>
              <w:numPr>
                <w:ilvl w:val="0"/>
                <w:numId w:val="0"/>
              </w:numPr>
              <w:ind w:left="0" w:leftChars="0" w:firstLine="0" w:firstLineChars="0"/>
              <w:rPr>
                <w:rFonts w:hint="default" w:ascii="Calibri" w:hAnsi="Calibri" w:eastAsia="宋体" w:cs="Times New Roman"/>
                <w:kern w:val="2"/>
                <w:sz w:val="21"/>
                <w:szCs w:val="24"/>
                <w:vertAlign w:val="baseline"/>
                <w:lang w:val="en-US" w:eastAsia="zh-CN" w:bidi="ar-SA"/>
              </w:rPr>
            </w:pPr>
            <w:r>
              <w:rPr>
                <w:rFonts w:hint="eastAsia"/>
                <w:vertAlign w:val="baseline"/>
                <w:lang w:val="en-US" w:eastAsia="zh-CN"/>
              </w:rPr>
              <w:t>6</w:t>
            </w:r>
          </w:p>
        </w:tc>
        <w:tc>
          <w:tcPr>
            <w:tcW w:w="1044" w:type="dxa"/>
            <w:noWrap w:val="0"/>
            <w:vAlign w:val="top"/>
          </w:tcPr>
          <w:p>
            <w:pPr>
              <w:numPr>
                <w:ilvl w:val="0"/>
                <w:numId w:val="0"/>
              </w:numPr>
              <w:ind w:left="0" w:leftChars="0" w:firstLine="0" w:firstLineChars="0"/>
              <w:rPr>
                <w:rFonts w:hint="default"/>
                <w:vertAlign w:val="baseline"/>
                <w:lang w:val="en-US" w:eastAsia="zh-CN"/>
              </w:rPr>
            </w:pPr>
            <w:r>
              <w:rPr>
                <w:rFonts w:hint="eastAsia"/>
                <w:vertAlign w:val="baseline"/>
                <w:lang w:val="en-US" w:eastAsia="zh-CN"/>
              </w:rPr>
              <w:t>其他值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1212" w:type="dxa"/>
            <w:noWrap w:val="0"/>
            <w:vAlign w:val="top"/>
          </w:tcPr>
          <w:p>
            <w:pPr>
              <w:numPr>
                <w:ilvl w:val="0"/>
                <w:numId w:val="0"/>
              </w:numPr>
              <w:rPr>
                <w:rFonts w:hint="default"/>
                <w:vertAlign w:val="baseline"/>
                <w:lang w:val="en-US" w:eastAsia="zh-CN"/>
              </w:rPr>
            </w:pPr>
            <w:r>
              <w:rPr>
                <w:rFonts w:hint="eastAsia"/>
                <w:vertAlign w:val="baseline"/>
                <w:lang w:val="en-US" w:eastAsia="zh-CN"/>
              </w:rPr>
              <w:t>波特率</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500k</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250k</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125k</w:t>
            </w:r>
          </w:p>
        </w:tc>
        <w:tc>
          <w:tcPr>
            <w:tcW w:w="1044" w:type="dxa"/>
            <w:noWrap w:val="0"/>
            <w:vAlign w:val="top"/>
          </w:tcPr>
          <w:p>
            <w:pPr>
              <w:numPr>
                <w:ilvl w:val="0"/>
                <w:numId w:val="0"/>
              </w:numPr>
              <w:rPr>
                <w:rFonts w:hint="default"/>
                <w:vertAlign w:val="baseline"/>
                <w:lang w:val="en-US" w:eastAsia="zh-CN"/>
              </w:rPr>
            </w:pPr>
            <w:r>
              <w:rPr>
                <w:rFonts w:hint="eastAsia"/>
                <w:vertAlign w:val="baseline"/>
                <w:lang w:val="en-US" w:eastAsia="zh-CN"/>
              </w:rPr>
              <w:t>100k</w:t>
            </w:r>
          </w:p>
        </w:tc>
        <w:tc>
          <w:tcPr>
            <w:tcW w:w="1044"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50k</w:t>
            </w:r>
          </w:p>
        </w:tc>
        <w:tc>
          <w:tcPr>
            <w:tcW w:w="1044"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20k</w:t>
            </w:r>
          </w:p>
        </w:tc>
        <w:tc>
          <w:tcPr>
            <w:tcW w:w="1044" w:type="dxa"/>
            <w:noWrap w:val="0"/>
            <w:vAlign w:val="top"/>
          </w:tcPr>
          <w:p>
            <w:pPr>
              <w:numPr>
                <w:ilvl w:val="0"/>
                <w:numId w:val="0"/>
              </w:numPr>
              <w:ind w:left="0" w:leftChars="0" w:firstLine="0" w:firstLineChars="0"/>
              <w:rPr>
                <w:rFonts w:hint="default"/>
                <w:vertAlign w:val="baseline"/>
                <w:lang w:val="en-US" w:eastAsia="zh-CN"/>
              </w:rPr>
            </w:pPr>
            <w:r>
              <w:rPr>
                <w:rFonts w:hint="eastAsia"/>
                <w:vertAlign w:val="baseline"/>
                <w:lang w:val="en-US" w:eastAsia="zh-CN"/>
              </w:rPr>
              <w:t>500k</w:t>
            </w:r>
          </w:p>
        </w:tc>
      </w:tr>
    </w:tbl>
    <w:p>
      <w:pPr>
        <w:rPr>
          <w:rFonts w:hint="eastAsia"/>
          <w:lang w:val="en-US" w:eastAsia="zh-CN"/>
        </w:rPr>
      </w:pPr>
    </w:p>
    <w:p>
      <w:pPr>
        <w:rPr>
          <w:rFonts w:hint="eastAsia"/>
          <w:lang w:val="en-US" w:eastAsia="zh-CN"/>
        </w:rPr>
      </w:pPr>
      <w:r>
        <w:rPr>
          <w:rFonts w:hint="eastAsia"/>
          <w:lang w:val="en-US" w:eastAsia="zh-CN"/>
        </w:rPr>
        <w:t>注：默认CANID为1，波特率的值为500K。过滤标识符和过滤器屏蔽标识符默认为0。</w:t>
      </w:r>
    </w:p>
    <w:p>
      <w:pPr>
        <w:rPr>
          <w:rFonts w:hint="default"/>
          <w:vertAlign w:val="baseline"/>
          <w:lang w:val="en-US" w:eastAsia="zh-CN"/>
        </w:rPr>
      </w:pPr>
      <w:r>
        <w:rPr>
          <w:rFonts w:hint="eastAsia"/>
          <w:lang w:val="en-US" w:eastAsia="zh-CN"/>
        </w:rPr>
        <w:t>在</w:t>
      </w:r>
      <w:bookmarkStart w:id="3" w:name="OLE_LINK4"/>
      <w:r>
        <w:rPr>
          <w:rFonts w:hint="eastAsia"/>
          <w:lang w:val="en-US" w:eastAsia="zh-CN"/>
        </w:rPr>
        <w:t>更改波特率、</w:t>
      </w:r>
      <w:r>
        <w:rPr>
          <w:rFonts w:hint="eastAsia"/>
          <w:vertAlign w:val="baseline"/>
          <w:lang w:val="en-US" w:eastAsia="zh-CN"/>
        </w:rPr>
        <w:t>CAN过滤器标识符和CAN过滤器屏蔽标识符时需要提前记录更改的值</w:t>
      </w:r>
      <w:bookmarkEnd w:id="3"/>
      <w:r>
        <w:rPr>
          <w:rFonts w:hint="eastAsia"/>
          <w:vertAlign w:val="baseline"/>
          <w:lang w:val="en-US" w:eastAsia="zh-CN"/>
        </w:rPr>
        <w:t>，更改后可能因为波特率与默认的值不同导致无法接收到数据。通过寄存器读取的温度值为实际测量的值*10</w:t>
      </w:r>
    </w:p>
    <w:p>
      <w:pPr>
        <w:numPr>
          <w:ilvl w:val="0"/>
          <w:numId w:val="5"/>
        </w:numPr>
        <w:rPr>
          <w:rFonts w:hint="eastAsia"/>
          <w:b/>
          <w:bCs/>
          <w:lang w:val="en-US" w:eastAsia="zh-CN"/>
        </w:rPr>
      </w:pPr>
      <w:r>
        <w:rPr>
          <w:rFonts w:hint="eastAsia"/>
          <w:b/>
          <w:bCs/>
          <w:lang w:val="en-US" w:eastAsia="zh-CN"/>
        </w:rPr>
        <w:t>报警数据协议</w:t>
      </w:r>
    </w:p>
    <w:tbl>
      <w:tblPr>
        <w:tblStyle w:val="5"/>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895"/>
        <w:gridCol w:w="1085"/>
        <w:gridCol w:w="1071"/>
        <w:gridCol w:w="1058"/>
        <w:gridCol w:w="1058"/>
        <w:gridCol w:w="1071"/>
        <w:gridCol w:w="1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帧头</w:t>
            </w:r>
          </w:p>
        </w:tc>
        <w:tc>
          <w:tcPr>
            <w:tcW w:w="895" w:type="dxa"/>
            <w:noWrap w:val="0"/>
            <w:vAlign w:val="top"/>
          </w:tcPr>
          <w:p>
            <w:pPr>
              <w:numPr>
                <w:ilvl w:val="0"/>
                <w:numId w:val="0"/>
              </w:numPr>
              <w:rPr>
                <w:rFonts w:hint="default"/>
                <w:vertAlign w:val="baseline"/>
                <w:lang w:val="en-US" w:eastAsia="zh-CN"/>
              </w:rPr>
            </w:pPr>
          </w:p>
        </w:tc>
        <w:tc>
          <w:tcPr>
            <w:tcW w:w="1085" w:type="dxa"/>
            <w:noWrap w:val="0"/>
            <w:vAlign w:val="top"/>
          </w:tcPr>
          <w:p>
            <w:pPr>
              <w:numPr>
                <w:ilvl w:val="0"/>
                <w:numId w:val="0"/>
              </w:numPr>
              <w:rPr>
                <w:rFonts w:hint="default"/>
                <w:vertAlign w:val="baseline"/>
                <w:lang w:val="en-US" w:eastAsia="zh-CN"/>
              </w:rPr>
            </w:pPr>
          </w:p>
        </w:tc>
        <w:tc>
          <w:tcPr>
            <w:tcW w:w="1071" w:type="dxa"/>
            <w:noWrap w:val="0"/>
            <w:vAlign w:val="top"/>
          </w:tcPr>
          <w:p>
            <w:pPr>
              <w:numPr>
                <w:ilvl w:val="0"/>
                <w:numId w:val="0"/>
              </w:numPr>
              <w:rPr>
                <w:rFonts w:hint="default"/>
                <w:vertAlign w:val="baseline"/>
                <w:lang w:val="en-US" w:eastAsia="zh-CN"/>
              </w:rPr>
            </w:pP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 xml:space="preserve"> </w:t>
            </w:r>
          </w:p>
        </w:tc>
        <w:tc>
          <w:tcPr>
            <w:tcW w:w="1058"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p>
        </w:tc>
        <w:tc>
          <w:tcPr>
            <w:tcW w:w="1071" w:type="dxa"/>
            <w:noWrap w:val="0"/>
            <w:vAlign w:val="top"/>
          </w:tcPr>
          <w:p>
            <w:pPr>
              <w:numPr>
                <w:ilvl w:val="0"/>
                <w:numId w:val="0"/>
              </w:numPr>
              <w:ind w:left="0" w:leftChars="0" w:firstLine="0" w:firstLineChars="0"/>
              <w:rPr>
                <w:rFonts w:hint="eastAsia" w:ascii="Calibri" w:hAnsi="Calibri" w:eastAsia="宋体" w:cs="Times New Roman"/>
                <w:kern w:val="2"/>
                <w:sz w:val="21"/>
                <w:szCs w:val="24"/>
                <w:vertAlign w:val="baseline"/>
                <w:lang w:val="en-US" w:eastAsia="zh-CN" w:bidi="ar-SA"/>
              </w:rPr>
            </w:pPr>
            <w:r>
              <w:rPr>
                <w:rFonts w:hint="eastAsia"/>
                <w:vertAlign w:val="baseline"/>
                <w:lang w:val="en-US" w:eastAsia="zh-CN"/>
              </w:rPr>
              <w:t xml:space="preserve"> </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帧尾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noWrap w:val="0"/>
            <w:vAlign w:val="top"/>
          </w:tcPr>
          <w:p>
            <w:pPr>
              <w:numPr>
                <w:ilvl w:val="0"/>
                <w:numId w:val="0"/>
              </w:numPr>
              <w:rPr>
                <w:rFonts w:hint="default"/>
                <w:vertAlign w:val="baseline"/>
                <w:lang w:val="en-US" w:eastAsia="zh-CN"/>
              </w:rPr>
            </w:pPr>
            <w:r>
              <w:rPr>
                <w:rFonts w:hint="eastAsia"/>
                <w:vertAlign w:val="baseline"/>
                <w:lang w:val="en-US" w:eastAsia="zh-CN"/>
              </w:rPr>
              <w:t>0xfe</w:t>
            </w:r>
          </w:p>
        </w:tc>
        <w:tc>
          <w:tcPr>
            <w:tcW w:w="895" w:type="dxa"/>
            <w:noWrap w:val="0"/>
            <w:vAlign w:val="top"/>
          </w:tcPr>
          <w:p>
            <w:pPr>
              <w:numPr>
                <w:ilvl w:val="0"/>
                <w:numId w:val="0"/>
              </w:numPr>
              <w:rPr>
                <w:rFonts w:hint="default"/>
                <w:vertAlign w:val="baseline"/>
                <w:lang w:val="en-US" w:eastAsia="zh-CN"/>
              </w:rPr>
            </w:pPr>
            <w:r>
              <w:rPr>
                <w:rFonts w:hint="eastAsia"/>
                <w:vertAlign w:val="baseline"/>
                <w:lang w:val="en-US" w:eastAsia="zh-CN"/>
              </w:rPr>
              <w:t>0x03</w:t>
            </w:r>
          </w:p>
        </w:tc>
        <w:tc>
          <w:tcPr>
            <w:tcW w:w="1085" w:type="dxa"/>
            <w:noWrap w:val="0"/>
            <w:vAlign w:val="top"/>
          </w:tcPr>
          <w:p>
            <w:pPr>
              <w:numPr>
                <w:ilvl w:val="0"/>
                <w:numId w:val="0"/>
              </w:numPr>
              <w:rPr>
                <w:rFonts w:hint="default"/>
                <w:vertAlign w:val="baseline"/>
                <w:lang w:val="en-US" w:eastAsia="zh-CN"/>
              </w:rPr>
            </w:pPr>
            <w:r>
              <w:rPr>
                <w:rFonts w:hint="eastAsia"/>
                <w:vertAlign w:val="baseline"/>
                <w:lang w:val="en-US" w:eastAsia="zh-CN"/>
              </w:rPr>
              <w:t>0x03</w:t>
            </w:r>
          </w:p>
        </w:tc>
        <w:tc>
          <w:tcPr>
            <w:tcW w:w="1071" w:type="dxa"/>
            <w:noWrap w:val="0"/>
            <w:vAlign w:val="top"/>
          </w:tcPr>
          <w:p>
            <w:pPr>
              <w:numPr>
                <w:ilvl w:val="0"/>
                <w:numId w:val="0"/>
              </w:numPr>
              <w:rPr>
                <w:rFonts w:hint="default"/>
                <w:vertAlign w:val="baseline"/>
                <w:lang w:val="en-US" w:eastAsia="zh-CN"/>
              </w:rPr>
            </w:pPr>
            <w:r>
              <w:rPr>
                <w:rFonts w:hint="eastAsia"/>
                <w:vertAlign w:val="baseline"/>
                <w:lang w:val="en-US" w:eastAsia="zh-CN"/>
              </w:rPr>
              <w:t>0xee</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0xff</w:t>
            </w:r>
          </w:p>
        </w:tc>
        <w:tc>
          <w:tcPr>
            <w:tcW w:w="1058" w:type="dxa"/>
            <w:noWrap w:val="0"/>
            <w:vAlign w:val="top"/>
          </w:tcPr>
          <w:p>
            <w:pPr>
              <w:numPr>
                <w:ilvl w:val="0"/>
                <w:numId w:val="0"/>
              </w:numPr>
              <w:ind w:left="0" w:leftChars="0" w:firstLine="0" w:firstLineChars="0"/>
              <w:rPr>
                <w:rFonts w:hint="default" w:ascii="Calibri" w:hAnsi="Calibri" w:eastAsia="宋体" w:cs="Times New Roman"/>
                <w:kern w:val="2"/>
                <w:sz w:val="21"/>
                <w:szCs w:val="24"/>
                <w:vertAlign w:val="baseline"/>
                <w:lang w:val="en-US" w:eastAsia="zh-CN" w:bidi="ar-SA"/>
              </w:rPr>
            </w:pPr>
            <w:r>
              <w:rPr>
                <w:rFonts w:hint="eastAsia" w:cs="Times New Roman"/>
                <w:kern w:val="2"/>
                <w:sz w:val="21"/>
                <w:szCs w:val="24"/>
                <w:vertAlign w:val="baseline"/>
                <w:lang w:val="en-US" w:eastAsia="zh-CN" w:bidi="ar-SA"/>
              </w:rPr>
              <w:t>0x00</w:t>
            </w:r>
          </w:p>
        </w:tc>
        <w:tc>
          <w:tcPr>
            <w:tcW w:w="1071" w:type="dxa"/>
            <w:noWrap w:val="0"/>
            <w:vAlign w:val="top"/>
          </w:tcPr>
          <w:p>
            <w:pPr>
              <w:numPr>
                <w:ilvl w:val="0"/>
                <w:numId w:val="0"/>
              </w:numPr>
              <w:ind w:left="0" w:leftChars="0" w:firstLine="0" w:firstLineChars="0"/>
              <w:rPr>
                <w:rFonts w:hint="default" w:ascii="Calibri" w:hAnsi="Calibri" w:eastAsia="宋体" w:cs="Times New Roman"/>
                <w:kern w:val="2"/>
                <w:sz w:val="21"/>
                <w:szCs w:val="24"/>
                <w:vertAlign w:val="baseline"/>
                <w:lang w:val="en-US" w:eastAsia="zh-CN" w:bidi="ar-SA"/>
              </w:rPr>
            </w:pPr>
            <w:r>
              <w:rPr>
                <w:rFonts w:hint="eastAsia" w:cs="Times New Roman"/>
                <w:kern w:val="2"/>
                <w:sz w:val="21"/>
                <w:szCs w:val="24"/>
                <w:vertAlign w:val="baseline"/>
                <w:lang w:val="en-US" w:eastAsia="zh-CN" w:bidi="ar-SA"/>
              </w:rPr>
              <w:t>0x00</w:t>
            </w:r>
          </w:p>
        </w:tc>
        <w:tc>
          <w:tcPr>
            <w:tcW w:w="1058" w:type="dxa"/>
            <w:noWrap w:val="0"/>
            <w:vAlign w:val="top"/>
          </w:tcPr>
          <w:p>
            <w:pPr>
              <w:numPr>
                <w:ilvl w:val="0"/>
                <w:numId w:val="0"/>
              </w:numPr>
              <w:rPr>
                <w:rFonts w:hint="default"/>
                <w:vertAlign w:val="baseline"/>
                <w:lang w:val="en-US" w:eastAsia="zh-CN"/>
              </w:rPr>
            </w:pPr>
            <w:r>
              <w:rPr>
                <w:rFonts w:hint="eastAsia"/>
                <w:vertAlign w:val="baseline"/>
                <w:lang w:val="en-US" w:eastAsia="zh-CN"/>
              </w:rPr>
              <w:t>0xAB</w:t>
            </w:r>
          </w:p>
        </w:tc>
      </w:tr>
    </w:tbl>
    <w:p>
      <w:pPr>
        <w:numPr>
          <w:ilvl w:val="0"/>
          <w:numId w:val="0"/>
        </w:numPr>
        <w:rPr>
          <w:rFonts w:hint="default"/>
          <w:lang w:val="en-US" w:eastAsia="zh-CN"/>
        </w:rPr>
      </w:pPr>
      <w:r>
        <w:rPr>
          <w:rFonts w:hint="eastAsia"/>
          <w:lang w:val="en-US" w:eastAsia="zh-CN"/>
        </w:rPr>
        <w:t>注：主动发送数据。</w:t>
      </w:r>
    </w:p>
    <w:p>
      <w:pPr>
        <w:numPr>
          <w:ilvl w:val="0"/>
          <w:numId w:val="2"/>
        </w:numPr>
        <w:rPr>
          <w:rFonts w:hint="default" w:ascii="黑体" w:hAnsi="黑体" w:eastAsia="黑体" w:cs="黑体"/>
          <w:b/>
          <w:bCs/>
          <w:i w:val="0"/>
          <w:iCs w:val="0"/>
          <w:sz w:val="36"/>
          <w:szCs w:val="36"/>
          <w:lang w:val="en-US" w:eastAsia="zh-CN"/>
        </w:rPr>
      </w:pPr>
      <w:r>
        <w:rPr>
          <w:rFonts w:hint="eastAsia" w:ascii="黑体" w:hAnsi="黑体" w:eastAsia="黑体" w:cs="黑体"/>
          <w:b/>
          <w:bCs/>
          <w:i w:val="0"/>
          <w:iCs w:val="0"/>
          <w:sz w:val="36"/>
          <w:szCs w:val="36"/>
          <w:lang w:val="en-US" w:eastAsia="zh-CN"/>
        </w:rPr>
        <w:t>注意事项</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pPr>
      <w:r>
        <w:t>模组避免接触有机溶剂（包括硅胶及其它胶粘剂）、涂料、药剂、油类及高浓度气体，不要把模组放在硅质化合物附近，不要用有机溶剂清洗传感器表面。</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pPr>
      <w:r>
        <w:t>对模组加上硫化氢和氯气，亚硫酸气体等的高浓度气体（100mg/m3以上）的时候，会造成故障。</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pPr>
      <w:r>
        <w:t>请勿将模组长时间放置于高浓度有机气体中，长期放置会导致传感器零点发生飘逸，尽可能在常温常湿的洁净空气环境中保管。</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pPr>
      <w:r>
        <w:t xml:space="preserve">模组不可经受过度的撞击或震动。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pPr>
      <w:r>
        <w:t xml:space="preserve">模组初次上电使用需预热3分钟以上。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pPr>
      <w:r>
        <w:t xml:space="preserve">请勿将该模组应用于涉及人身安全的系统中。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pPr>
      <w:r>
        <w:t xml:space="preserve">请勿将模组安装在强空气对流环境下使用。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textAlignment w:val="auto"/>
        <w:rPr>
          <w:rFonts w:hint="default"/>
          <w:lang w:val="en-US" w:eastAsia="zh-CN"/>
        </w:rPr>
      </w:pPr>
      <w:r>
        <w:t>请不要直接用气体吹向传感器帽盖。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F790B6D7"/>
    <w:multiLevelType w:val="singleLevel"/>
    <w:tmpl w:val="F790B6D7"/>
    <w:lvl w:ilvl="0" w:tentative="0">
      <w:start w:val="1"/>
      <w:numFmt w:val="bullet"/>
      <w:lvlText w:val=""/>
      <w:lvlJc w:val="left"/>
      <w:pPr>
        <w:ind w:left="420" w:hanging="420"/>
      </w:pPr>
      <w:rPr>
        <w:rFonts w:hint="default" w:ascii="Wingdings" w:hAnsi="Wingdings"/>
      </w:rPr>
    </w:lvl>
  </w:abstractNum>
  <w:abstractNum w:abstractNumId="2">
    <w:nsid w:val="1A0E67D4"/>
    <w:multiLevelType w:val="multilevel"/>
    <w:tmpl w:val="1A0E67D4"/>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42BD7F4F"/>
    <w:multiLevelType w:val="singleLevel"/>
    <w:tmpl w:val="42BD7F4F"/>
    <w:lvl w:ilvl="0" w:tentative="0">
      <w:start w:val="2"/>
      <w:numFmt w:val="decimal"/>
      <w:suff w:val="nothing"/>
      <w:lvlText w:val="%1、"/>
      <w:lvlJc w:val="left"/>
    </w:lvl>
  </w:abstractNum>
  <w:abstractNum w:abstractNumId="4">
    <w:nsid w:val="65928467"/>
    <w:multiLevelType w:val="singleLevel"/>
    <w:tmpl w:val="65928467"/>
    <w:lvl w:ilvl="0" w:tentative="0">
      <w:start w:val="1"/>
      <w:numFmt w:val="bullet"/>
      <w:lvlText w:val=""/>
      <w:lvlJc w:val="left"/>
      <w:pPr>
        <w:ind w:left="420" w:hanging="420"/>
      </w:pPr>
      <w:rPr>
        <w:rFonts w:hint="default" w:ascii="Wingdings" w:hAnsi="Wingdings"/>
      </w:rPr>
    </w:lvl>
  </w:abstractNum>
  <w:abstractNum w:abstractNumId="5">
    <w:nsid w:val="7BD4C697"/>
    <w:multiLevelType w:val="singleLevel"/>
    <w:tmpl w:val="7BD4C697"/>
    <w:lvl w:ilvl="0" w:tentative="0">
      <w:start w:val="1"/>
      <w:numFmt w:val="chineseCounting"/>
      <w:suff w:val="space"/>
      <w:lvlText w:val="第%1章"/>
      <w:lvlJc w:val="left"/>
      <w:rPr>
        <w:rFonts w:hint="eastAsia"/>
      </w:rPr>
    </w:lvl>
  </w:abstractNum>
  <w:num w:numId="1">
    <w:abstractNumId w:val="0"/>
  </w:num>
  <w:num w:numId="2">
    <w:abstractNumId w:val="5"/>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s>
  <w:rsids>
    <w:rsidRoot w:val="23654E12"/>
    <w:rsid w:val="14D7185D"/>
    <w:rsid w:val="1DC17518"/>
    <w:rsid w:val="23654E12"/>
    <w:rsid w:val="40BF3E0D"/>
    <w:rsid w:val="575E7C19"/>
    <w:rsid w:val="671F3018"/>
    <w:rsid w:val="6DE35DF5"/>
    <w:rsid w:val="6EBF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1214</Words>
  <Characters>1521</Characters>
  <Lines>0</Lines>
  <Paragraphs>0</Paragraphs>
  <TotalTime>4</TotalTime>
  <ScaleCrop>false</ScaleCrop>
  <LinksUpToDate>false</LinksUpToDate>
  <CharactersWithSpaces>1548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2023-07-13T00:58:00Z</dcterms:created>
  <dc:creator>fewevd</dc:creator>
  <cp:lastModifiedBy>fewevd</cp:lastModifiedBy>
  <dcterms:modified xsi:type="dcterms:W3CDTF">2023-10-26T03:23:53Z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D84345D575E74E259C03981BA4EF12A6</vt:lpwstr>
  </property>
</Properties>
</file>