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AED803">
      <w:pPr>
        <w:sectPr>
          <w:pgSz w:w="11906" w:h="16838"/>
          <w:pgMar w:top="1440" w:right="1800" w:bottom="1440" w:left="1800" w:header="851" w:footer="992" w:gutter="0"/>
          <w:cols w:space="425" w:num="1"/>
          <w:docGrid w:type="lines" w:linePitch="312" w:charSpace="0"/>
        </w:sectPr>
      </w:pPr>
      <w:r>
        <w:rPr>
          <w:sz w:val="72"/>
        </w:rPr>
        <mc:AlternateContent>
          <mc:Choice Requires="wps">
            <w:drawing>
              <wp:anchor distT="0" distB="0" distL="114300" distR="114300" simplePos="0" relativeHeight="251660288" behindDoc="0" locked="0" layoutInCell="1" allowOverlap="1">
                <wp:simplePos x="0" y="0"/>
                <wp:positionH relativeFrom="column">
                  <wp:posOffset>165735</wp:posOffset>
                </wp:positionH>
                <wp:positionV relativeFrom="paragraph">
                  <wp:posOffset>-303530</wp:posOffset>
                </wp:positionV>
                <wp:extent cx="5372100" cy="3257550"/>
                <wp:effectExtent l="0" t="0" r="0" b="0"/>
                <wp:wrapNone/>
                <wp:docPr id="2" name="文本框 2"/>
                <wp:cNvGraphicFramePr/>
                <a:graphic xmlns:a="http://schemas.openxmlformats.org/drawingml/2006/main">
                  <a:graphicData uri="http://schemas.microsoft.com/office/word/2010/wordprocessingShape">
                    <wps:wsp>
                      <wps:cNvSpPr txBox="1"/>
                      <wps:spPr>
                        <a:xfrm>
                          <a:off x="1661160" y="648970"/>
                          <a:ext cx="5372100" cy="32575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4"/>
                              <w:tblpPr w:leftFromText="180" w:rightFromText="180" w:vertAnchor="page" w:horzAnchor="page" w:tblpX="2890" w:tblpY="1323"/>
                              <w:tblOverlap w:val="never"/>
                              <w:tblW w:w="0" w:type="auto"/>
                              <w:tblInd w:w="0" w:type="dxa"/>
                              <w:tblLayout w:type="fixed"/>
                              <w:tblCellMar>
                                <w:top w:w="0" w:type="dxa"/>
                                <w:left w:w="108" w:type="dxa"/>
                                <w:bottom w:w="0" w:type="dxa"/>
                                <w:right w:w="108" w:type="dxa"/>
                              </w:tblCellMar>
                            </w:tblPr>
                            <w:tblGrid>
                              <w:gridCol w:w="7660"/>
                            </w:tblGrid>
                            <w:tr w14:paraId="22217FDD">
                              <w:tblPrEx>
                                <w:tblCellMar>
                                  <w:top w:w="0" w:type="dxa"/>
                                  <w:left w:w="108" w:type="dxa"/>
                                  <w:bottom w:w="0" w:type="dxa"/>
                                  <w:right w:w="108" w:type="dxa"/>
                                </w:tblCellMar>
                              </w:tblPrEx>
                              <w:trPr>
                                <w:trHeight w:val="1762" w:hRule="atLeast"/>
                              </w:trPr>
                              <w:tc>
                                <w:tcPr>
                                  <w:tcW w:w="7660" w:type="dxa"/>
                                  <w:noWrap w:val="0"/>
                                  <w:vAlign w:val="top"/>
                                </w:tcPr>
                                <w:p w14:paraId="02FD1B98">
                                  <w:pPr>
                                    <w:jc w:val="center"/>
                                    <w:rPr>
                                      <w:rFonts w:hint="default" w:ascii="Times New Roman" w:hAnsi="Times New Roman" w:eastAsia="宋体" w:cs="Times New Roman"/>
                                      <w:b/>
                                      <w:bCs/>
                                      <w:sz w:val="72"/>
                                      <w:szCs w:val="72"/>
                                      <w:lang w:val="en-US" w:eastAsia="zh-CN"/>
                                    </w:rPr>
                                  </w:pPr>
                                  <w:r>
                                    <w:rPr>
                                      <w:rFonts w:hint="eastAsia" w:ascii="Times New Roman" w:hAnsi="Times New Roman" w:eastAsia="宋体" w:cs="Times New Roman"/>
                                      <w:b/>
                                      <w:bCs/>
                                      <w:sz w:val="72"/>
                                      <w:szCs w:val="72"/>
                                      <w:lang w:val="en-US" w:eastAsia="zh-CN"/>
                                    </w:rPr>
                                    <w:t>钢筋应力计</w:t>
                                  </w:r>
                                </w:p>
                              </w:tc>
                            </w:tr>
                            <w:tr w14:paraId="6555A341">
                              <w:tblPrEx>
                                <w:tblCellMar>
                                  <w:top w:w="0" w:type="dxa"/>
                                  <w:left w:w="108" w:type="dxa"/>
                                  <w:bottom w:w="0" w:type="dxa"/>
                                  <w:right w:w="108" w:type="dxa"/>
                                </w:tblCellMar>
                              </w:tblPrEx>
                              <w:trPr>
                                <w:trHeight w:val="881" w:hRule="atLeast"/>
                              </w:trPr>
                              <w:tc>
                                <w:tcPr>
                                  <w:tcW w:w="7660" w:type="dxa"/>
                                  <w:noWrap w:val="0"/>
                                  <w:vAlign w:val="top"/>
                                </w:tcPr>
                                <w:p w14:paraId="69354C97">
                                  <w:pPr>
                                    <w:jc w:val="center"/>
                                    <w:rPr>
                                      <w:rFonts w:hint="eastAsia" w:ascii="Times New Roman" w:hAnsi="Times New Roman" w:eastAsia="宋体" w:cs="Times New Roman"/>
                                      <w:b/>
                                      <w:bCs/>
                                      <w:sz w:val="72"/>
                                      <w:szCs w:val="72"/>
                                      <w:lang w:val="en-US" w:eastAsia="zh-CN"/>
                                    </w:rPr>
                                  </w:pPr>
                                  <w:r>
                                    <w:rPr>
                                      <w:rFonts w:hint="eastAsia" w:ascii="Times New Roman" w:hAnsi="Times New Roman" w:eastAsia="宋体" w:cs="Times New Roman"/>
                                      <w:b/>
                                      <w:bCs/>
                                      <w:sz w:val="72"/>
                                      <w:szCs w:val="72"/>
                                      <w:lang w:val="en-US" w:eastAsia="zh-CN"/>
                                    </w:rPr>
                                    <w:t>使用说明书</w:t>
                                  </w:r>
                                </w:p>
                              </w:tc>
                            </w:tr>
                            <w:tr w14:paraId="7F260AD7">
                              <w:tblPrEx>
                                <w:tblCellMar>
                                  <w:top w:w="0" w:type="dxa"/>
                                  <w:left w:w="108" w:type="dxa"/>
                                  <w:bottom w:w="0" w:type="dxa"/>
                                  <w:right w:w="108" w:type="dxa"/>
                                </w:tblCellMar>
                              </w:tblPrEx>
                              <w:trPr>
                                <w:trHeight w:val="588" w:hRule="atLeast"/>
                              </w:trPr>
                              <w:tc>
                                <w:tcPr>
                                  <w:tcW w:w="7660" w:type="dxa"/>
                                  <w:noWrap w:val="0"/>
                                  <w:vAlign w:val="top"/>
                                </w:tcPr>
                                <w:p w14:paraId="546F1B0D">
                                  <w:pPr>
                                    <w:jc w:val="right"/>
                                    <w:rPr>
                                      <w:rFonts w:hint="default" w:ascii="Times New Roman" w:hAnsi="Times New Roman" w:eastAsia="宋体" w:cs="Times New Roman"/>
                                      <w:b/>
                                      <w:bCs/>
                                      <w:sz w:val="44"/>
                                      <w:szCs w:val="44"/>
                                      <w:lang w:val="en-US" w:eastAsia="zh-CN"/>
                                    </w:rPr>
                                  </w:pPr>
                                  <w:r>
                                    <w:rPr>
                                      <w:rFonts w:hint="eastAsia" w:ascii="Times New Roman" w:hAnsi="Times New Roman" w:eastAsia="宋体" w:cs="Times New Roman"/>
                                      <w:b/>
                                      <w:bCs/>
                                      <w:sz w:val="44"/>
                                      <w:szCs w:val="44"/>
                                      <w:lang w:val="en-US" w:eastAsia="zh-CN"/>
                                    </w:rPr>
                                    <w:t>JXBS-GJJ</w:t>
                                  </w:r>
                                </w:p>
                              </w:tc>
                            </w:tr>
                            <w:tr w14:paraId="6B23172F">
                              <w:tblPrEx>
                                <w:tblCellMar>
                                  <w:top w:w="0" w:type="dxa"/>
                                  <w:left w:w="108" w:type="dxa"/>
                                  <w:bottom w:w="0" w:type="dxa"/>
                                  <w:right w:w="108" w:type="dxa"/>
                                </w:tblCellMar>
                              </w:tblPrEx>
                              <w:trPr>
                                <w:trHeight w:val="588" w:hRule="atLeast"/>
                              </w:trPr>
                              <w:tc>
                                <w:tcPr>
                                  <w:tcW w:w="7660" w:type="dxa"/>
                                  <w:noWrap w:val="0"/>
                                  <w:vAlign w:val="top"/>
                                </w:tcPr>
                                <w:p w14:paraId="09C37FB2">
                                  <w:pPr>
                                    <w:jc w:val="right"/>
                                    <w:rPr>
                                      <w:rFonts w:hint="eastAsia" w:ascii="Times New Roman" w:hAnsi="Times New Roman" w:eastAsia="宋体" w:cs="Times New Roman"/>
                                      <w:b/>
                                      <w:bCs/>
                                      <w:sz w:val="44"/>
                                      <w:szCs w:val="44"/>
                                      <w:lang w:val="en-US" w:eastAsia="zh-CN"/>
                                    </w:rPr>
                                  </w:pPr>
                                  <w:r>
                                    <w:rPr>
                                      <w:rFonts w:hint="eastAsia" w:ascii="Times New Roman" w:hAnsi="Times New Roman" w:eastAsia="宋体" w:cs="Times New Roman"/>
                                      <w:b/>
                                      <w:bCs/>
                                      <w:sz w:val="44"/>
                                      <w:szCs w:val="44"/>
                                      <w:lang w:val="en-US" w:eastAsia="zh-CN"/>
                                    </w:rPr>
                                    <w:t>Ver1.0</w:t>
                                  </w:r>
                                </w:p>
                              </w:tc>
                            </w:tr>
                          </w:tbl>
                          <w:p w14:paraId="387E5D54"/>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05pt;margin-top:-23.9pt;height:256.5pt;width:423pt;z-index:251660288;mso-width-relative:page;mso-height-relative:page;" filled="f" stroked="f" coordsize="21600,21600" o:gfxdata="UEsDBAoAAAAAAIdO4kAAAAAAAAAAAAAAAAAEAAAAZHJzL1BLAwQUAAAACACHTuJAckgmD9sAAAAK&#10;AQAADwAAAGRycy9kb3ducmV2LnhtbE2Py07DMBBF90j8gzVI7FonVptGIU6FIlVICBYt3bBzYjeJ&#10;sMchdh/06zusYDkzR3fOLdcXZ9nJTGHwKCGdJ8AMtl4P2EnYf2xmObAQFWplPRoJPybAurq/K1Wh&#10;/Rm35rSLHaMQDIWS0Mc4FpyHtjdOhbkfDdLt4CenIo1Tx/WkzhTuLBdJknGnBqQPvRpN3Zv2a3d0&#10;El7rzbvaNsLlV1u/vB2ex+/951LKx4c0eQIWzSX+wfCrT+pQkVPjj6gDsxJElhIpYbZYUQUC8pWg&#10;TSNhkS0F8Krk/ytUN1BLAwQUAAAACACHTuJAjBFOgkUCAAByBAAADgAAAGRycy9lMm9Eb2MueG1s&#10;rVTNTtwwEL5X6jtYvpdswv7AiizagqgqoYJEq569jkMi+a+2l4Q+QPsGnHrpvc/Fc/SzkwVKe+DQ&#10;i3fsmXwz3zcze3TcK0luhPOt0SXN9yaUCM1N1errkn76ePbmgBIfmK6YNFqU9FZ4erx6/eqos0tR&#10;mMbISjgCEO2XnS1pE4JdZpnnjVDM7xkrNJy1cYoFXN11VjnWAV3JrJhM5llnXGWd4cJ7vJ4OTjoi&#10;upcAmrpuuTg1fKuEDgOqE5IFUPJNaz1dpWrrWvBwUddeBCJLCqYhnUgCexPPbHXElteO2ablYwns&#10;JSU846RYq5H0AeqUBUa2rv0LSrXcGW/qsMeNygYiSRGwyCfPtLlqmBWJC6T29kF0//9g+YebS0fa&#10;qqQFJZopNPz+7vv9j1/3P7+RIsrTWb9E1JVFXOjfmh5Ds3v3eIys+9qp+As+JPrn8zyfQ+Lbks6n&#10;B4eLUWfRB8Lhn+0vinwCP0fAfjFbzGYpIntEss6Hd8IoEo2SOjQy6ctuzn1AVQjdhcTE2py1UqZm&#10;Sk06pN0H5B8efCE1Pox8hrqjFfpNP5LcmOoWHJ0ZhsRbftYi+Tnz4ZI5TAUKxt6ECxy1NEhiRouS&#10;xriv/3qP8WgWvJR0mLKS+i9b5gQl8r1GGw/z6RSwIV2ms0WBi3vq2Tz16K06MRjkHBtqeTJjfJA7&#10;s3ZGfcZ6rWNWuJjmyF3SsDNPwjD7WE8u1usUhEG0LJzrK8sj9CDaehtM3Salo0yDNqN6GMXUgHFt&#10;4qw/vaeox7+K1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ySCYP2wAAAAoBAAAPAAAAAAAAAAEA&#10;IAAAACIAAABkcnMvZG93bnJldi54bWxQSwECFAAUAAAACACHTuJAjBFOgkUCAAByBAAADgAAAAAA&#10;AAABACAAAAAqAQAAZHJzL2Uyb0RvYy54bWxQSwUGAAAAAAYABgBZAQAA4QUAAAAA&#10;">
                <v:fill on="f" focussize="0,0"/>
                <v:stroke on="f" weight="0.5pt"/>
                <v:imagedata o:title=""/>
                <o:lock v:ext="edit" aspectratio="f"/>
                <v:textbox>
                  <w:txbxContent>
                    <w:tbl>
                      <w:tblPr>
                        <w:tblStyle w:val="4"/>
                        <w:tblpPr w:leftFromText="180" w:rightFromText="180" w:vertAnchor="page" w:horzAnchor="page" w:tblpX="2890" w:tblpY="1323"/>
                        <w:tblOverlap w:val="never"/>
                        <w:tblW w:w="0" w:type="auto"/>
                        <w:tblInd w:w="0" w:type="dxa"/>
                        <w:tblLayout w:type="fixed"/>
                        <w:tblCellMar>
                          <w:top w:w="0" w:type="dxa"/>
                          <w:left w:w="108" w:type="dxa"/>
                          <w:bottom w:w="0" w:type="dxa"/>
                          <w:right w:w="108" w:type="dxa"/>
                        </w:tblCellMar>
                      </w:tblPr>
                      <w:tblGrid>
                        <w:gridCol w:w="7660"/>
                      </w:tblGrid>
                      <w:tr w14:paraId="22217FDD">
                        <w:tblPrEx>
                          <w:tblCellMar>
                            <w:top w:w="0" w:type="dxa"/>
                            <w:left w:w="108" w:type="dxa"/>
                            <w:bottom w:w="0" w:type="dxa"/>
                            <w:right w:w="108" w:type="dxa"/>
                          </w:tblCellMar>
                        </w:tblPrEx>
                        <w:trPr>
                          <w:trHeight w:val="1762" w:hRule="atLeast"/>
                        </w:trPr>
                        <w:tc>
                          <w:tcPr>
                            <w:tcW w:w="7660" w:type="dxa"/>
                            <w:noWrap w:val="0"/>
                            <w:vAlign w:val="top"/>
                          </w:tcPr>
                          <w:p w14:paraId="02FD1B98">
                            <w:pPr>
                              <w:jc w:val="center"/>
                              <w:rPr>
                                <w:rFonts w:hint="default" w:ascii="Times New Roman" w:hAnsi="Times New Roman" w:eastAsia="宋体" w:cs="Times New Roman"/>
                                <w:b/>
                                <w:bCs/>
                                <w:sz w:val="72"/>
                                <w:szCs w:val="72"/>
                                <w:lang w:val="en-US" w:eastAsia="zh-CN"/>
                              </w:rPr>
                            </w:pPr>
                            <w:r>
                              <w:rPr>
                                <w:rFonts w:hint="eastAsia" w:ascii="Times New Roman" w:hAnsi="Times New Roman" w:eastAsia="宋体" w:cs="Times New Roman"/>
                                <w:b/>
                                <w:bCs/>
                                <w:sz w:val="72"/>
                                <w:szCs w:val="72"/>
                                <w:lang w:val="en-US" w:eastAsia="zh-CN"/>
                              </w:rPr>
                              <w:t>钢筋应力计</w:t>
                            </w:r>
                          </w:p>
                        </w:tc>
                      </w:tr>
                      <w:tr w14:paraId="6555A341">
                        <w:tblPrEx>
                          <w:tblCellMar>
                            <w:top w:w="0" w:type="dxa"/>
                            <w:left w:w="108" w:type="dxa"/>
                            <w:bottom w:w="0" w:type="dxa"/>
                            <w:right w:w="108" w:type="dxa"/>
                          </w:tblCellMar>
                        </w:tblPrEx>
                        <w:trPr>
                          <w:trHeight w:val="881" w:hRule="atLeast"/>
                        </w:trPr>
                        <w:tc>
                          <w:tcPr>
                            <w:tcW w:w="7660" w:type="dxa"/>
                            <w:noWrap w:val="0"/>
                            <w:vAlign w:val="top"/>
                          </w:tcPr>
                          <w:p w14:paraId="69354C97">
                            <w:pPr>
                              <w:jc w:val="center"/>
                              <w:rPr>
                                <w:rFonts w:hint="eastAsia" w:ascii="Times New Roman" w:hAnsi="Times New Roman" w:eastAsia="宋体" w:cs="Times New Roman"/>
                                <w:b/>
                                <w:bCs/>
                                <w:sz w:val="72"/>
                                <w:szCs w:val="72"/>
                                <w:lang w:val="en-US" w:eastAsia="zh-CN"/>
                              </w:rPr>
                            </w:pPr>
                            <w:r>
                              <w:rPr>
                                <w:rFonts w:hint="eastAsia" w:ascii="Times New Roman" w:hAnsi="Times New Roman" w:eastAsia="宋体" w:cs="Times New Roman"/>
                                <w:b/>
                                <w:bCs/>
                                <w:sz w:val="72"/>
                                <w:szCs w:val="72"/>
                                <w:lang w:val="en-US" w:eastAsia="zh-CN"/>
                              </w:rPr>
                              <w:t>使用说明书</w:t>
                            </w:r>
                          </w:p>
                        </w:tc>
                      </w:tr>
                      <w:tr w14:paraId="7F260AD7">
                        <w:tblPrEx>
                          <w:tblCellMar>
                            <w:top w:w="0" w:type="dxa"/>
                            <w:left w:w="108" w:type="dxa"/>
                            <w:bottom w:w="0" w:type="dxa"/>
                            <w:right w:w="108" w:type="dxa"/>
                          </w:tblCellMar>
                        </w:tblPrEx>
                        <w:trPr>
                          <w:trHeight w:val="588" w:hRule="atLeast"/>
                        </w:trPr>
                        <w:tc>
                          <w:tcPr>
                            <w:tcW w:w="7660" w:type="dxa"/>
                            <w:noWrap w:val="0"/>
                            <w:vAlign w:val="top"/>
                          </w:tcPr>
                          <w:p w14:paraId="546F1B0D">
                            <w:pPr>
                              <w:jc w:val="right"/>
                              <w:rPr>
                                <w:rFonts w:hint="default" w:ascii="Times New Roman" w:hAnsi="Times New Roman" w:eastAsia="宋体" w:cs="Times New Roman"/>
                                <w:b/>
                                <w:bCs/>
                                <w:sz w:val="44"/>
                                <w:szCs w:val="44"/>
                                <w:lang w:val="en-US" w:eastAsia="zh-CN"/>
                              </w:rPr>
                            </w:pPr>
                            <w:r>
                              <w:rPr>
                                <w:rFonts w:hint="eastAsia" w:ascii="Times New Roman" w:hAnsi="Times New Roman" w:eastAsia="宋体" w:cs="Times New Roman"/>
                                <w:b/>
                                <w:bCs/>
                                <w:sz w:val="44"/>
                                <w:szCs w:val="44"/>
                                <w:lang w:val="en-US" w:eastAsia="zh-CN"/>
                              </w:rPr>
                              <w:t>JXBS-GJJ</w:t>
                            </w:r>
                          </w:p>
                        </w:tc>
                      </w:tr>
                      <w:tr w14:paraId="6B23172F">
                        <w:tblPrEx>
                          <w:tblCellMar>
                            <w:top w:w="0" w:type="dxa"/>
                            <w:left w:w="108" w:type="dxa"/>
                            <w:bottom w:w="0" w:type="dxa"/>
                            <w:right w:w="108" w:type="dxa"/>
                          </w:tblCellMar>
                        </w:tblPrEx>
                        <w:trPr>
                          <w:trHeight w:val="588" w:hRule="atLeast"/>
                        </w:trPr>
                        <w:tc>
                          <w:tcPr>
                            <w:tcW w:w="7660" w:type="dxa"/>
                            <w:noWrap w:val="0"/>
                            <w:vAlign w:val="top"/>
                          </w:tcPr>
                          <w:p w14:paraId="09C37FB2">
                            <w:pPr>
                              <w:jc w:val="right"/>
                              <w:rPr>
                                <w:rFonts w:hint="eastAsia" w:ascii="Times New Roman" w:hAnsi="Times New Roman" w:eastAsia="宋体" w:cs="Times New Roman"/>
                                <w:b/>
                                <w:bCs/>
                                <w:sz w:val="44"/>
                                <w:szCs w:val="44"/>
                                <w:lang w:val="en-US" w:eastAsia="zh-CN"/>
                              </w:rPr>
                            </w:pPr>
                            <w:r>
                              <w:rPr>
                                <w:rFonts w:hint="eastAsia" w:ascii="Times New Roman" w:hAnsi="Times New Roman" w:eastAsia="宋体" w:cs="Times New Roman"/>
                                <w:b/>
                                <w:bCs/>
                                <w:sz w:val="44"/>
                                <w:szCs w:val="44"/>
                                <w:lang w:val="en-US" w:eastAsia="zh-CN"/>
                              </w:rPr>
                              <w:t>Ver1.0</w:t>
                            </w:r>
                          </w:p>
                        </w:tc>
                      </w:tr>
                    </w:tbl>
                    <w:p w14:paraId="387E5D54"/>
                  </w:txbxContent>
                </v:textbox>
              </v:shape>
            </w:pict>
          </mc:Fallback>
        </mc:AlternateContent>
      </w:r>
      <w:r>
        <w:rPr>
          <w:b/>
          <w:bCs/>
          <w:sz w:val="72"/>
          <w:szCs w:val="72"/>
        </w:rPr>
        <w:drawing>
          <wp:anchor distT="0" distB="0" distL="114300" distR="114300" simplePos="0" relativeHeight="251659264" behindDoc="1" locked="0" layoutInCell="1" allowOverlap="1">
            <wp:simplePos x="0" y="0"/>
            <wp:positionH relativeFrom="page">
              <wp:posOffset>5080</wp:posOffset>
            </wp:positionH>
            <wp:positionV relativeFrom="page">
              <wp:posOffset>-27305</wp:posOffset>
            </wp:positionV>
            <wp:extent cx="7539355" cy="10709275"/>
            <wp:effectExtent l="0" t="0" r="4445" b="1587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
                    <a:stretch>
                      <a:fillRect/>
                    </a:stretch>
                  </pic:blipFill>
                  <pic:spPr>
                    <a:xfrm>
                      <a:off x="0" y="0"/>
                      <a:ext cx="7539355" cy="10709275"/>
                    </a:xfrm>
                    <a:prstGeom prst="rect">
                      <a:avLst/>
                    </a:prstGeom>
                    <a:noFill/>
                    <a:ln>
                      <a:noFill/>
                    </a:ln>
                  </pic:spPr>
                </pic:pic>
              </a:graphicData>
            </a:graphic>
          </wp:anchor>
        </w:drawing>
      </w:r>
    </w:p>
    <w:p w14:paraId="6BBFB182">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14:paraId="76107613">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14:paraId="2D71FF93">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钢筋应力计用于测量埋入混凝土中的钢筋的应变量以适时反映钢筋的受力情形，供现场工程人员作为施工的参考。钢筋应力计通常用于监测基桩、连续壁、桥墩、隧道内衬砌和沉箱等构件的应变。</w:t>
      </w:r>
    </w:p>
    <w:p w14:paraId="4410A295">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eastAsia="zh-CN"/>
        </w:rPr>
      </w:pPr>
      <w:r>
        <w:rPr>
          <w:rFonts w:ascii="宋体" w:hAnsi="宋体" w:eastAsia="宋体" w:cs="宋体"/>
          <w:sz w:val="24"/>
          <w:szCs w:val="24"/>
        </w:rPr>
        <w:t>振弦式钢筋应力计的结构是在特制仪器的两端接上两根钢筋，中间仪器段内含一组微型振弦式应变计和一个感应线圈，线圈连接电缆线由应变计的中心部位引出，连接到振弦式测读器或数据集录器上。这些测读器能提供一个使钢弦振动所需的激励电压，在钢筋计被激励共振后，由测读器测出钢弦的振动频率，透过该振动频率的变化，现场监测人员可以精确计算出受测钢筋的应力值</w:t>
      </w:r>
      <w:r>
        <w:rPr>
          <w:rFonts w:hint="eastAsia" w:ascii="宋体" w:hAnsi="宋体" w:eastAsia="宋体" w:cs="宋体"/>
          <w:sz w:val="24"/>
          <w:szCs w:val="24"/>
          <w:lang w:eastAsia="zh-CN"/>
        </w:rPr>
        <w:t>。</w:t>
      </w:r>
    </w:p>
    <w:p w14:paraId="2C176444">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14:paraId="6C2F9EE9">
      <w:pPr>
        <w:numPr>
          <w:ilvl w:val="0"/>
          <w:numId w:val="4"/>
        </w:numPr>
        <w:bidi w:val="0"/>
        <w:ind w:left="420" w:leftChars="0" w:hanging="420" w:firstLineChars="0"/>
        <w:rPr>
          <w:rFonts w:hint="eastAsia"/>
          <w:lang w:val="en-US" w:eastAsia="zh-CN"/>
        </w:rPr>
      </w:pPr>
      <w:r>
        <w:rPr>
          <w:rFonts w:hint="eastAsia"/>
          <w:lang w:val="en-US" w:eastAsia="zh-CN"/>
        </w:rPr>
        <w:t>精度高，线性好</w:t>
      </w:r>
    </w:p>
    <w:p w14:paraId="1541C7CC">
      <w:pPr>
        <w:numPr>
          <w:ilvl w:val="0"/>
          <w:numId w:val="4"/>
        </w:numPr>
        <w:bidi w:val="0"/>
        <w:ind w:left="420" w:leftChars="0" w:hanging="420" w:firstLineChars="0"/>
        <w:rPr>
          <w:rFonts w:hint="eastAsia"/>
          <w:lang w:val="en-US" w:eastAsia="zh-CN"/>
        </w:rPr>
      </w:pPr>
      <w:r>
        <w:rPr>
          <w:rFonts w:hint="eastAsia"/>
          <w:lang w:val="en-US" w:eastAsia="zh-CN"/>
        </w:rPr>
        <w:t>封胶处理，防水防锈</w:t>
      </w:r>
    </w:p>
    <w:p w14:paraId="3A7A17E3">
      <w:pPr>
        <w:numPr>
          <w:ilvl w:val="0"/>
          <w:numId w:val="4"/>
        </w:numPr>
        <w:bidi w:val="0"/>
        <w:ind w:left="420" w:leftChars="0" w:hanging="420" w:firstLineChars="0"/>
        <w:rPr>
          <w:rFonts w:hint="eastAsia"/>
          <w:lang w:val="en-US" w:eastAsia="zh-CN"/>
        </w:rPr>
      </w:pPr>
      <w:r>
        <w:rPr>
          <w:rFonts w:hint="eastAsia"/>
          <w:lang w:val="en-US" w:eastAsia="zh-CN"/>
        </w:rPr>
        <w:t>抗干扰能力强</w:t>
      </w:r>
    </w:p>
    <w:p w14:paraId="4AACFEF6">
      <w:pPr>
        <w:numPr>
          <w:ilvl w:val="0"/>
          <w:numId w:val="4"/>
        </w:numPr>
        <w:bidi w:val="0"/>
        <w:ind w:left="420" w:leftChars="0" w:hanging="420" w:firstLineChars="0"/>
        <w:rPr>
          <w:rFonts w:hint="eastAsia"/>
          <w:lang w:val="en-US" w:eastAsia="zh-CN"/>
        </w:rPr>
      </w:pPr>
      <w:r>
        <w:rPr>
          <w:rFonts w:hint="eastAsia"/>
          <w:lang w:val="en-US" w:eastAsia="zh-CN"/>
        </w:rPr>
        <w:t>IP68，防水性能好</w:t>
      </w:r>
    </w:p>
    <w:p w14:paraId="737AF1C4">
      <w:pPr>
        <w:numPr>
          <w:ilvl w:val="0"/>
          <w:numId w:val="4"/>
        </w:numPr>
        <w:bidi w:val="0"/>
        <w:ind w:left="420" w:leftChars="0" w:hanging="420" w:firstLineChars="0"/>
        <w:rPr>
          <w:rFonts w:hint="eastAsia"/>
          <w:lang w:val="en-US" w:eastAsia="zh-CN"/>
        </w:rPr>
      </w:pPr>
      <w:r>
        <w:rPr>
          <w:rFonts w:hint="eastAsia"/>
          <w:lang w:val="en-US" w:eastAsia="zh-CN"/>
        </w:rPr>
        <w:t>内置温度传感器，可测得测量点温度</w:t>
      </w:r>
    </w:p>
    <w:p w14:paraId="7133BB00">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产品用途</w:t>
      </w:r>
    </w:p>
    <w:p w14:paraId="2E92AA27">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广泛应用于勘测定界、隧道地铁工程、水库大坝、公路桥梁、设备安装、民用建筑、工业建筑、边坡监测、基坑蓝测、房产地基检测。</w:t>
      </w:r>
    </w:p>
    <w:p w14:paraId="39B384BA">
      <w:pPr>
        <w:numPr>
          <w:ilvl w:val="0"/>
          <w:numId w:val="2"/>
        </w:numPr>
        <w:rPr>
          <w:rFonts w:hint="default" w:ascii="黑体" w:hAnsi="黑体" w:eastAsia="黑体" w:cs="黑体"/>
          <w:b/>
          <w:bCs/>
          <w:sz w:val="36"/>
          <w:szCs w:val="36"/>
          <w:lang w:val="en-US" w:eastAsia="zh-CN"/>
        </w:rPr>
      </w:pPr>
      <w:bookmarkStart w:id="0" w:name="_GoBack"/>
      <w:r>
        <w:rPr>
          <w:rFonts w:hint="eastAsia" w:ascii="黑体" w:hAnsi="黑体" w:eastAsia="黑体" w:cs="黑体"/>
          <w:b/>
          <w:bCs/>
          <w:sz w:val="36"/>
          <w:szCs w:val="36"/>
          <w:lang w:val="en-US" w:eastAsia="zh-CN"/>
        </w:rPr>
        <w:t>产品参数</w:t>
      </w:r>
    </w:p>
    <w:bookmarkEnd w:id="0"/>
    <w:p w14:paraId="0EEA5718">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技术指标</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78786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51FD409A">
            <w:pPr>
              <w:bidi w:val="0"/>
              <w:rPr>
                <w:rFonts w:hint="default"/>
                <w:lang w:val="en-US" w:eastAsia="zh-CN"/>
              </w:rPr>
            </w:pPr>
            <w:r>
              <w:rPr>
                <w:rFonts w:hint="eastAsia"/>
                <w:lang w:val="en-US" w:eastAsia="zh-CN"/>
              </w:rPr>
              <w:t>参数名称</w:t>
            </w:r>
          </w:p>
        </w:tc>
        <w:tc>
          <w:tcPr>
            <w:tcW w:w="4261" w:type="dxa"/>
          </w:tcPr>
          <w:p w14:paraId="692BBFA6">
            <w:pPr>
              <w:bidi w:val="0"/>
              <w:rPr>
                <w:rFonts w:hint="default"/>
                <w:lang w:val="en-US" w:eastAsia="zh-CN"/>
              </w:rPr>
            </w:pPr>
            <w:r>
              <w:rPr>
                <w:rFonts w:hint="eastAsia"/>
                <w:lang w:val="en-US" w:eastAsia="zh-CN"/>
              </w:rPr>
              <w:t>参数内容</w:t>
            </w:r>
          </w:p>
        </w:tc>
      </w:tr>
      <w:tr w14:paraId="50446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18A3B351">
            <w:pPr>
              <w:bidi w:val="0"/>
              <w:rPr>
                <w:rFonts w:hint="default"/>
                <w:lang w:val="en-US" w:eastAsia="zh-CN"/>
              </w:rPr>
            </w:pPr>
            <w:r>
              <w:rPr>
                <w:rFonts w:hint="eastAsia"/>
                <w:lang w:val="en-US" w:eastAsia="zh-CN"/>
              </w:rPr>
              <w:t>测量范围</w:t>
            </w:r>
          </w:p>
        </w:tc>
        <w:tc>
          <w:tcPr>
            <w:tcW w:w="4261" w:type="dxa"/>
          </w:tcPr>
          <w:p w14:paraId="3414CBB0">
            <w:pPr>
              <w:bidi w:val="0"/>
              <w:rPr>
                <w:rFonts w:hint="default"/>
                <w:lang w:val="en-US" w:eastAsia="zh-CN"/>
              </w:rPr>
            </w:pPr>
            <w:r>
              <w:rPr>
                <w:rFonts w:hint="eastAsia"/>
                <w:lang w:val="en-US" w:eastAsia="zh-CN"/>
              </w:rPr>
              <w:t>最大拉应力200，最大压应力（MPa）</w:t>
            </w:r>
          </w:p>
        </w:tc>
      </w:tr>
      <w:tr w14:paraId="67AA0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top"/>
          </w:tcPr>
          <w:p w14:paraId="6852E50C">
            <w:pPr>
              <w:bidi w:val="0"/>
              <w:rPr>
                <w:rFonts w:hint="default"/>
                <w:lang w:val="en-US" w:eastAsia="zh-CN"/>
              </w:rPr>
            </w:pPr>
            <w:r>
              <w:rPr>
                <w:rFonts w:hint="eastAsia"/>
                <w:lang w:val="en-US" w:eastAsia="zh-CN"/>
              </w:rPr>
              <w:t>分辨率</w:t>
            </w:r>
          </w:p>
        </w:tc>
        <w:tc>
          <w:tcPr>
            <w:tcW w:w="4261" w:type="dxa"/>
            <w:vAlign w:val="top"/>
          </w:tcPr>
          <w:p w14:paraId="6FFD826A">
            <w:pPr>
              <w:bidi w:val="0"/>
              <w:rPr>
                <w:rFonts w:hint="default"/>
                <w:lang w:val="en-US" w:eastAsia="zh-CN"/>
              </w:rPr>
            </w:pPr>
            <w:r>
              <w:rPr>
                <w:rFonts w:hint="eastAsia"/>
                <w:lang w:val="en-US" w:eastAsia="zh-CN"/>
              </w:rPr>
              <w:t>≤0.05%F.S</w:t>
            </w:r>
          </w:p>
        </w:tc>
      </w:tr>
      <w:tr w14:paraId="4A095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top"/>
          </w:tcPr>
          <w:p w14:paraId="38103560">
            <w:pPr>
              <w:bidi w:val="0"/>
              <w:rPr>
                <w:rFonts w:hint="default"/>
                <w:lang w:val="en-US" w:eastAsia="zh-CN"/>
              </w:rPr>
            </w:pPr>
            <w:r>
              <w:rPr>
                <w:rFonts w:hint="eastAsia"/>
                <w:lang w:val="en-US" w:eastAsia="zh-CN"/>
              </w:rPr>
              <w:t>非直线度</w:t>
            </w:r>
          </w:p>
        </w:tc>
        <w:tc>
          <w:tcPr>
            <w:tcW w:w="4261" w:type="dxa"/>
            <w:vAlign w:val="top"/>
          </w:tcPr>
          <w:p w14:paraId="3AB723B8">
            <w:pPr>
              <w:bidi w:val="0"/>
              <w:rPr>
                <w:rFonts w:hint="default"/>
                <w:lang w:val="en-US" w:eastAsia="zh-CN"/>
              </w:rPr>
            </w:pPr>
            <w:r>
              <w:rPr>
                <w:rFonts w:hint="eastAsia"/>
                <w:lang w:val="en-US" w:eastAsia="zh-CN"/>
              </w:rPr>
              <w:t>≤1.0%F.S</w:t>
            </w:r>
          </w:p>
        </w:tc>
      </w:tr>
      <w:tr w14:paraId="68676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top"/>
          </w:tcPr>
          <w:p w14:paraId="7CBD9451">
            <w:pPr>
              <w:bidi w:val="0"/>
              <w:rPr>
                <w:rFonts w:hint="eastAsia"/>
                <w:lang w:val="en-US" w:eastAsia="zh-CN"/>
              </w:rPr>
            </w:pPr>
            <w:r>
              <w:rPr>
                <w:rFonts w:hint="eastAsia"/>
                <w:lang w:val="en-US" w:eastAsia="zh-CN"/>
              </w:rPr>
              <w:t>综合误差</w:t>
            </w:r>
          </w:p>
        </w:tc>
        <w:tc>
          <w:tcPr>
            <w:tcW w:w="4261" w:type="dxa"/>
            <w:vAlign w:val="top"/>
          </w:tcPr>
          <w:p w14:paraId="2B70AE86">
            <w:pPr>
              <w:bidi w:val="0"/>
              <w:rPr>
                <w:rFonts w:hint="eastAsia"/>
                <w:lang w:val="en-US" w:eastAsia="zh-CN"/>
              </w:rPr>
            </w:pPr>
            <w:r>
              <w:rPr>
                <w:rFonts w:hint="eastAsia"/>
                <w:lang w:val="en-US" w:eastAsia="zh-CN"/>
              </w:rPr>
              <w:t>≤2.0%F.S</w:t>
            </w:r>
          </w:p>
        </w:tc>
      </w:tr>
      <w:tr w14:paraId="690F0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0CDF2329">
            <w:pPr>
              <w:bidi w:val="0"/>
              <w:rPr>
                <w:rFonts w:hint="default"/>
                <w:lang w:val="en-US" w:eastAsia="zh-CN"/>
              </w:rPr>
            </w:pPr>
            <w:r>
              <w:rPr>
                <w:rFonts w:hint="eastAsia"/>
                <w:lang w:val="en-US" w:eastAsia="zh-CN"/>
              </w:rPr>
              <w:t>耐水压力</w:t>
            </w:r>
          </w:p>
        </w:tc>
        <w:tc>
          <w:tcPr>
            <w:tcW w:w="4261" w:type="dxa"/>
          </w:tcPr>
          <w:p w14:paraId="43561A2B">
            <w:pPr>
              <w:bidi w:val="0"/>
              <w:rPr>
                <w:rFonts w:hint="default"/>
                <w:lang w:val="en-US" w:eastAsia="zh-CN"/>
              </w:rPr>
            </w:pPr>
            <w:r>
              <w:rPr>
                <w:rFonts w:hint="eastAsia"/>
                <w:lang w:val="en-US" w:eastAsia="zh-CN"/>
              </w:rPr>
              <w:t>0.5MPa（可增至7.0MPa）</w:t>
            </w:r>
          </w:p>
        </w:tc>
      </w:tr>
      <w:tr w14:paraId="1B250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3E4E1DD2">
            <w:pPr>
              <w:bidi w:val="0"/>
              <w:rPr>
                <w:rFonts w:hint="default"/>
                <w:lang w:val="en-US" w:eastAsia="zh-CN"/>
              </w:rPr>
            </w:pPr>
            <w:r>
              <w:rPr>
                <w:rFonts w:hint="eastAsia"/>
                <w:lang w:val="en-US" w:eastAsia="zh-CN"/>
              </w:rPr>
              <w:t>工作温度</w:t>
            </w:r>
          </w:p>
        </w:tc>
        <w:tc>
          <w:tcPr>
            <w:tcW w:w="4261" w:type="dxa"/>
          </w:tcPr>
          <w:p w14:paraId="2740FDCD">
            <w:pPr>
              <w:bidi w:val="0"/>
              <w:rPr>
                <w:rFonts w:hint="default"/>
                <w:lang w:val="en-US" w:eastAsia="zh-CN"/>
              </w:rPr>
            </w:pPr>
            <w:r>
              <w:rPr>
                <w:rFonts w:hint="eastAsia"/>
                <w:lang w:val="en-US" w:eastAsia="zh-CN"/>
              </w:rPr>
              <w:t>-25~60℃</w:t>
            </w:r>
          </w:p>
        </w:tc>
      </w:tr>
      <w:tr w14:paraId="467DA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30137131">
            <w:pPr>
              <w:bidi w:val="0"/>
              <w:rPr>
                <w:rFonts w:hint="default"/>
                <w:lang w:val="en-US" w:eastAsia="zh-CN"/>
              </w:rPr>
            </w:pPr>
            <w:r>
              <w:rPr>
                <w:rFonts w:hint="eastAsia"/>
                <w:lang w:val="en-US" w:eastAsia="zh-CN"/>
              </w:rPr>
              <w:t>温度测量精度</w:t>
            </w:r>
          </w:p>
        </w:tc>
        <w:tc>
          <w:tcPr>
            <w:tcW w:w="4261" w:type="dxa"/>
          </w:tcPr>
          <w:p w14:paraId="5505B931">
            <w:pPr>
              <w:bidi w:val="0"/>
              <w:rPr>
                <w:rFonts w:hint="default"/>
                <w:lang w:val="en-US" w:eastAsia="zh-CN"/>
              </w:rPr>
            </w:pPr>
            <w:r>
              <w:rPr>
                <w:rFonts w:hint="eastAsia"/>
                <w:lang w:val="en-US" w:eastAsia="zh-CN"/>
              </w:rPr>
              <w:t>±0.5℃（可增加测温功能）</w:t>
            </w:r>
          </w:p>
        </w:tc>
      </w:tr>
      <w:tr w14:paraId="77EA5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588E5293">
            <w:pPr>
              <w:bidi w:val="0"/>
              <w:rPr>
                <w:rFonts w:hint="default"/>
                <w:lang w:val="en-US" w:eastAsia="zh-CN"/>
              </w:rPr>
            </w:pPr>
            <w:r>
              <w:rPr>
                <w:rFonts w:hint="eastAsia"/>
                <w:lang w:val="en-US" w:eastAsia="zh-CN"/>
              </w:rPr>
              <w:t>产品全长</w:t>
            </w:r>
          </w:p>
        </w:tc>
        <w:tc>
          <w:tcPr>
            <w:tcW w:w="4261" w:type="dxa"/>
          </w:tcPr>
          <w:p w14:paraId="470A3C5F">
            <w:pPr>
              <w:bidi w:val="0"/>
              <w:rPr>
                <w:rFonts w:hint="default"/>
                <w:lang w:val="en-US" w:eastAsia="zh-CN"/>
              </w:rPr>
            </w:pPr>
            <w:r>
              <w:rPr>
                <w:rFonts w:hint="eastAsia"/>
                <w:lang w:val="en-US" w:eastAsia="zh-CN"/>
              </w:rPr>
              <w:t>200mm（可定制）</w:t>
            </w:r>
          </w:p>
        </w:tc>
      </w:tr>
      <w:tr w14:paraId="053C8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015B75FC">
            <w:pPr>
              <w:bidi w:val="0"/>
              <w:rPr>
                <w:rFonts w:hint="default"/>
                <w:lang w:val="en-US" w:eastAsia="zh-CN"/>
              </w:rPr>
            </w:pPr>
            <w:r>
              <w:rPr>
                <w:rFonts w:hint="eastAsia"/>
                <w:lang w:val="en-US" w:eastAsia="zh-CN"/>
              </w:rPr>
              <w:t>钢筋直径</w:t>
            </w:r>
          </w:p>
        </w:tc>
        <w:tc>
          <w:tcPr>
            <w:tcW w:w="4261" w:type="dxa"/>
          </w:tcPr>
          <w:p w14:paraId="783F99F0">
            <w:pPr>
              <w:bidi w:val="0"/>
              <w:rPr>
                <w:rFonts w:hint="default"/>
                <w:lang w:val="en-US" w:eastAsia="zh-CN"/>
              </w:rPr>
            </w:pPr>
            <w:r>
              <w:rPr>
                <w:rFonts w:hint="eastAsia"/>
                <w:lang w:val="en-US" w:eastAsia="zh-CN"/>
              </w:rPr>
              <w:t>Φ20、Φ22、Φ25、Φ28（可定制）</w:t>
            </w:r>
          </w:p>
        </w:tc>
      </w:tr>
      <w:tr w14:paraId="24102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6AB69782">
            <w:pPr>
              <w:bidi w:val="0"/>
              <w:rPr>
                <w:rFonts w:hint="default"/>
                <w:lang w:val="en-US" w:eastAsia="zh-CN"/>
              </w:rPr>
            </w:pPr>
            <w:r>
              <w:rPr>
                <w:rFonts w:hint="eastAsia"/>
                <w:lang w:val="en-US" w:eastAsia="zh-CN"/>
              </w:rPr>
              <w:t>产品规格</w:t>
            </w:r>
          </w:p>
        </w:tc>
        <w:tc>
          <w:tcPr>
            <w:tcW w:w="4261" w:type="dxa"/>
          </w:tcPr>
          <w:p w14:paraId="0C6E97DE">
            <w:pPr>
              <w:bidi w:val="0"/>
              <w:rPr>
                <w:rFonts w:hint="default"/>
                <w:lang w:val="en-US" w:eastAsia="zh-CN"/>
              </w:rPr>
            </w:pPr>
            <w:r>
              <w:rPr>
                <w:rFonts w:hint="eastAsia"/>
                <w:lang w:val="en-US" w:eastAsia="zh-CN"/>
              </w:rPr>
              <w:t>规格尺寸均可定制以实物为准</w:t>
            </w:r>
          </w:p>
        </w:tc>
      </w:tr>
    </w:tbl>
    <w:p w14:paraId="5662D735">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 xml:space="preserve">                        </w:t>
      </w:r>
      <w:r>
        <w:rPr>
          <w:rFonts w:hint="eastAsia"/>
          <w:lang w:val="en-US" w:eastAsia="zh-CN"/>
        </w:rPr>
        <w:t xml:space="preserve">  表1</w:t>
      </w:r>
    </w:p>
    <w:p w14:paraId="33198504">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p>
    <w:p w14:paraId="1C9BD856">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p>
    <w:p w14:paraId="232FE3B1">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w:t>
      </w:r>
    </w:p>
    <w:p w14:paraId="113229DB">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center"/>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1670050" cy="2406015"/>
            <wp:effectExtent l="23495" t="24130" r="0" b="77470"/>
            <wp:docPr id="3" name="图片 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4"/>
                    <pic:cNvPicPr>
                      <a:picLocks noChangeAspect="1"/>
                    </pic:cNvPicPr>
                  </pic:nvPicPr>
                  <pic:blipFill>
                    <a:blip r:embed="rId5"/>
                    <a:srcRect l="33658" t="2168" b="2276"/>
                    <a:stretch>
                      <a:fillRect/>
                    </a:stretch>
                  </pic:blipFill>
                  <pic:spPr>
                    <a:xfrm rot="16380000">
                      <a:off x="0" y="0"/>
                      <a:ext cx="1670050" cy="2406015"/>
                    </a:xfrm>
                    <a:prstGeom prst="rect">
                      <a:avLst/>
                    </a:prstGeom>
                  </pic:spPr>
                </pic:pic>
              </a:graphicData>
            </a:graphic>
          </wp:inline>
        </w:drawing>
      </w:r>
      <w:r>
        <w:rPr>
          <w:rFonts w:hint="eastAsia" w:ascii="黑体" w:hAnsi="黑体" w:eastAsia="黑体" w:cs="黑体"/>
          <w:b/>
          <w:bCs/>
          <w:sz w:val="30"/>
          <w:szCs w:val="30"/>
          <w:lang w:val="en-US" w:eastAsia="zh-CN"/>
        </w:rPr>
        <w:drawing>
          <wp:inline distT="0" distB="0" distL="114300" distR="114300">
            <wp:extent cx="2523490" cy="993140"/>
            <wp:effectExtent l="0" t="0" r="10160" b="16510"/>
            <wp:docPr id="6" name="图片 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3"/>
                    <pic:cNvPicPr>
                      <a:picLocks noChangeAspect="1"/>
                    </pic:cNvPicPr>
                  </pic:nvPicPr>
                  <pic:blipFill>
                    <a:blip r:embed="rId6"/>
                    <a:srcRect l="4552" t="48639" r="2722" b="14884"/>
                    <a:stretch>
                      <a:fillRect/>
                    </a:stretch>
                  </pic:blipFill>
                  <pic:spPr>
                    <a:xfrm>
                      <a:off x="0" y="0"/>
                      <a:ext cx="2523490" cy="993140"/>
                    </a:xfrm>
                    <a:prstGeom prst="rect">
                      <a:avLst/>
                    </a:prstGeom>
                  </pic:spPr>
                </pic:pic>
              </a:graphicData>
            </a:graphic>
          </wp:inline>
        </w:drawing>
      </w:r>
      <w:r>
        <w:rPr>
          <w:rFonts w:hint="eastAsia" w:ascii="黑体" w:hAnsi="黑体" w:eastAsia="黑体" w:cs="黑体"/>
          <w:b/>
          <w:bCs/>
          <w:sz w:val="30"/>
          <w:szCs w:val="30"/>
          <w:lang w:val="en-US" w:eastAsia="zh-CN"/>
        </w:rPr>
        <w:drawing>
          <wp:inline distT="0" distB="0" distL="114300" distR="114300">
            <wp:extent cx="2301240" cy="1673225"/>
            <wp:effectExtent l="0" t="0" r="3810" b="3175"/>
            <wp:docPr id="4" name="图片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
                    <pic:cNvPicPr>
                      <a:picLocks noChangeAspect="1"/>
                    </pic:cNvPicPr>
                  </pic:nvPicPr>
                  <pic:blipFill>
                    <a:blip r:embed="rId7"/>
                    <a:srcRect l="5552" t="13090" r="1782" b="19545"/>
                    <a:stretch>
                      <a:fillRect/>
                    </a:stretch>
                  </pic:blipFill>
                  <pic:spPr>
                    <a:xfrm>
                      <a:off x="0" y="0"/>
                      <a:ext cx="2301240" cy="1673225"/>
                    </a:xfrm>
                    <a:prstGeom prst="rect">
                      <a:avLst/>
                    </a:prstGeom>
                  </pic:spPr>
                </pic:pic>
              </a:graphicData>
            </a:graphic>
          </wp:inline>
        </w:drawing>
      </w:r>
      <w:r>
        <w:rPr>
          <w:rFonts w:hint="eastAsia" w:ascii="黑体" w:hAnsi="黑体" w:eastAsia="黑体" w:cs="黑体"/>
          <w:b/>
          <w:bCs/>
          <w:sz w:val="30"/>
          <w:szCs w:val="30"/>
          <w:lang w:val="en-US" w:eastAsia="zh-CN"/>
        </w:rPr>
        <w:drawing>
          <wp:inline distT="0" distB="0" distL="114300" distR="114300">
            <wp:extent cx="2289810" cy="2167255"/>
            <wp:effectExtent l="0" t="0" r="15240" b="4445"/>
            <wp:docPr id="5" name="图片 5"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5"/>
                    <pic:cNvPicPr>
                      <a:picLocks noChangeAspect="1"/>
                    </pic:cNvPicPr>
                  </pic:nvPicPr>
                  <pic:blipFill>
                    <a:blip r:embed="rId8"/>
                    <a:srcRect l="11573" t="10284" r="1385" b="7346"/>
                    <a:stretch>
                      <a:fillRect/>
                    </a:stretch>
                  </pic:blipFill>
                  <pic:spPr>
                    <a:xfrm>
                      <a:off x="0" y="0"/>
                      <a:ext cx="2289810" cy="2167255"/>
                    </a:xfrm>
                    <a:prstGeom prst="rect">
                      <a:avLst/>
                    </a:prstGeom>
                  </pic:spPr>
                </pic:pic>
              </a:graphicData>
            </a:graphic>
          </wp:inline>
        </w:drawing>
      </w:r>
    </w:p>
    <w:p w14:paraId="0351A895">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 xml:space="preserve">                         </w:t>
      </w:r>
      <w:r>
        <w:rPr>
          <w:rFonts w:hint="eastAsia" w:ascii="宋体" w:hAnsi="宋体" w:eastAsia="宋体" w:cs="宋体"/>
          <w:sz w:val="24"/>
          <w:szCs w:val="24"/>
          <w:lang w:val="en-US" w:eastAsia="zh-CN"/>
        </w:rPr>
        <w:t xml:space="preserve"> 图1</w:t>
      </w:r>
    </w:p>
    <w:p w14:paraId="0E4F6C8C">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产品安装</w:t>
      </w:r>
    </w:p>
    <w:p w14:paraId="4755A373">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 初始检验</w:t>
      </w:r>
    </w:p>
    <w:p w14:paraId="7DDE64AB">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eastAsia="zh-CN"/>
        </w:rPr>
      </w:pPr>
      <w:r>
        <w:rPr>
          <w:rFonts w:ascii="宋体" w:hAnsi="宋体" w:eastAsia="宋体" w:cs="宋体"/>
          <w:sz w:val="24"/>
          <w:szCs w:val="24"/>
        </w:rPr>
        <w:t>在安装开始前，检查钢筋计的正常功能是非常必要的。每一支钢筋计都配有 率定表，该率定表给出了读数数值与荷载间的关系，同时也给出了初始零读数与 仪器系数。钢筋计的电缆中黑红芯线用于连接到读数仪上读数，在现场检验时， 在经过温度修正后，这两个读数差值不大于25 个字，通常是由于运输原因导致 变形引起的，但不会影响钢筋计的线性。绿白芯线连接到读数仪上可得到温度值。 在钢筋计上施加拉力，读数将会产生变化，应力增加会使读数上升。 使用万用 表的欧姆档可检测电缆的连接特性。钢筋计线圈电阻应在大约180±10Ω 之间。 当检测时，记住加上电缆电阻（芯线电阻大约为50Ω /km，双向则乘以2）。在 25℃时，绿、白芯线之间电阻大约为3000Ω（见表B－1），在任何导线和屏蔽线 之间的绝缘电阻应超过50兆欧（测量绝缘电阻应使用100V 直流兆欧表。万用表 测量电阻时应为∞</w:t>
      </w:r>
      <w:r>
        <w:rPr>
          <w:rFonts w:hint="eastAsia" w:ascii="宋体" w:hAnsi="宋体" w:eastAsia="宋体" w:cs="宋体"/>
          <w:sz w:val="24"/>
          <w:szCs w:val="24"/>
          <w:lang w:eastAsia="zh-CN"/>
        </w:rPr>
        <w:t>）</w:t>
      </w:r>
    </w:p>
    <w:p w14:paraId="062E4ED4">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 电缆的焊接加长</w:t>
      </w:r>
    </w:p>
    <w:p w14:paraId="5FCE2B1A">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因为振弦仪器的输出信号是频率，所以电缆电阻细微的变化、电缆的连接加长，不会影响读数仪对仪器的读数。标准钢筋计在出厂时配备3m 电缆，安装前，需根据现场情况进行连接加长。埋设在土体中的电缆应尽可能避免接头。如 无法避免电缆连接，应采用防水接头</w:t>
      </w:r>
      <w:r>
        <w:rPr>
          <w:rFonts w:hint="eastAsia" w:ascii="宋体" w:hAnsi="宋体" w:eastAsia="宋体" w:cs="宋体"/>
          <w:sz w:val="24"/>
          <w:szCs w:val="24"/>
          <w:lang w:eastAsia="zh-CN"/>
        </w:rPr>
        <w:t>，</w:t>
      </w:r>
      <w:r>
        <w:rPr>
          <w:rFonts w:ascii="宋体" w:hAnsi="宋体" w:eastAsia="宋体" w:cs="宋体"/>
          <w:sz w:val="24"/>
          <w:szCs w:val="24"/>
        </w:rPr>
        <w:t>也可使用环氧接头。用于连接的电缆应是高质量的100%屏蔽的绞合电缆（带有整体屏蔽的抗干扰芯线）。连接时，屏蔽线（裸线）也应焊接到一起并引到接地点。</w:t>
      </w:r>
    </w:p>
    <w:p w14:paraId="4B3802C7">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焊接前用万用表测量传感器芯线间电阻数值并记录。其中红黑芯线电阻通常 为180± 10.左右；绿白芯线电阻在室温25℃时应为3k.左右；红黑线对绿白线以及对屏蔽线（裸线）间绝缘电阻应&gt;50M.（测量绝缘电阻应使用100V 直流兆欧表。万用表测量电阻时应为∞）。 </w:t>
      </w:r>
    </w:p>
    <w:p w14:paraId="75EFAC72">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eastAsia="zh-CN"/>
        </w:rPr>
      </w:pPr>
      <w:r>
        <w:rPr>
          <w:rFonts w:ascii="宋体" w:hAnsi="宋体" w:eastAsia="宋体" w:cs="宋体"/>
          <w:sz w:val="24"/>
          <w:szCs w:val="24"/>
        </w:rPr>
        <w:t>焊接前将电缆端部剥除外皮，长度约8cm，露出芯线，在剩余电缆外皮部位 用砂布或砂纸打毛，长度约3cm。电缆外面套φ12mm 热缩套管（长度约14cm）。 用剥线钳将芯线剥除0.5～0.8cm 芯线外皮，芯线上套φ2mm 热缩套管。芯线对应颜色对接并拧在一起后，用电烙铁焊锡。焊锡过程应避免虚焊并去除毛刺。5 根 芯线均需焊接</w:t>
      </w:r>
      <w:r>
        <w:rPr>
          <w:rFonts w:hint="eastAsia" w:ascii="宋体" w:hAnsi="宋体" w:eastAsia="宋体" w:cs="宋体"/>
          <w:sz w:val="24"/>
          <w:szCs w:val="24"/>
          <w:lang w:eastAsia="zh-CN"/>
        </w:rPr>
        <w:t>。</w:t>
      </w:r>
    </w:p>
    <w:p w14:paraId="7BCE0804">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eastAsia="zh-CN"/>
        </w:rPr>
      </w:pPr>
      <w:r>
        <w:rPr>
          <w:rFonts w:ascii="宋体" w:hAnsi="宋体" w:eastAsia="宋体" w:cs="宋体"/>
          <w:sz w:val="24"/>
          <w:szCs w:val="24"/>
        </w:rPr>
        <w:t>焊接时注意：1、将各个芯线接头错开；2、 保证各芯线长度一 致，以保证电缆受拉时，各芯线能均匀受力。焊接结束后，裸露芯线长度大约为 7cm 左右。焊接结束后，将φ2mm 热缩套管推至芯线接头部位，用热风枪将热缩套管热缩于接头部位。最后将φ12mm 热缩套管推至电缆接头部位，用热风枪 将热缩套管热缩于接头部位。φ12mm 热缩套管每端均应压在传感器电缆外皮 3cm 左右。使用热风枪吹热缩套管时应控制温度，必须使热缩套管内部的热熔胶 融化呈透明、流动状态，完全充满接头内部。温度过高会使芯线外皮融化，造成芯线短路，也会造成热缩套管碳化变脆</w:t>
      </w:r>
      <w:r>
        <w:rPr>
          <w:rFonts w:hint="eastAsia" w:ascii="宋体" w:hAnsi="宋体" w:eastAsia="宋体" w:cs="宋体"/>
          <w:sz w:val="24"/>
          <w:szCs w:val="24"/>
          <w:lang w:eastAsia="zh-CN"/>
        </w:rPr>
        <w:t>。</w:t>
      </w:r>
    </w:p>
    <w:p w14:paraId="7A4AE171">
      <w:pPr>
        <w:keepNext w:val="0"/>
        <w:keepLines w:val="0"/>
        <w:pageBreakBefore w:val="0"/>
        <w:widowControl w:val="0"/>
        <w:numPr>
          <w:ilvl w:val="0"/>
          <w:numId w:val="0"/>
        </w:numPr>
        <w:kinsoku/>
        <w:wordWrap/>
        <w:overflowPunct/>
        <w:topLinePunct w:val="0"/>
        <w:autoSpaceDE/>
        <w:autoSpaceDN/>
        <w:bidi w:val="0"/>
        <w:adjustRightInd/>
        <w:snapToGrid/>
        <w:ind w:firstLine="482" w:firstLineChars="200"/>
        <w:jc w:val="both"/>
        <w:textAlignment w:val="auto"/>
        <w:rPr>
          <w:rFonts w:hint="default" w:ascii="宋体" w:hAnsi="宋体" w:eastAsia="宋体" w:cs="宋体"/>
          <w:sz w:val="24"/>
          <w:szCs w:val="24"/>
          <w:lang w:val="en-US" w:eastAsia="zh-CN"/>
        </w:rPr>
      </w:pPr>
      <w:r>
        <w:rPr>
          <w:rFonts w:hint="eastAsia" w:ascii="宋体" w:hAnsi="宋体" w:eastAsia="宋体" w:cs="宋体"/>
          <w:b/>
          <w:bCs/>
          <w:sz w:val="24"/>
          <w:szCs w:val="24"/>
          <w:lang w:val="en-US" w:eastAsia="zh-CN"/>
        </w:rPr>
        <w:t>注</w:t>
      </w:r>
      <w:r>
        <w:rPr>
          <w:rFonts w:hint="eastAsia" w:ascii="宋体" w:hAnsi="宋体" w:eastAsia="宋体" w:cs="宋体"/>
          <w:sz w:val="24"/>
          <w:szCs w:val="24"/>
          <w:lang w:val="en-US" w:eastAsia="zh-CN"/>
        </w:rPr>
        <w:t>：</w:t>
      </w:r>
      <w:r>
        <w:rPr>
          <w:rFonts w:ascii="宋体" w:hAnsi="宋体" w:eastAsia="宋体" w:cs="宋体"/>
          <w:sz w:val="24"/>
          <w:szCs w:val="24"/>
        </w:rPr>
        <w:t>芯线焊接工作结束后，必须用读数仪进行读数测量检查，并使用万用表测量各芯线间电缆电阻情况。避免因焊接工作造成接头部位芯线短路、断路情况</w:t>
      </w:r>
    </w:p>
    <w:p w14:paraId="6904CE72">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3.3 应力计安装</w:t>
      </w:r>
    </w:p>
    <w:p w14:paraId="3EEA1E00">
      <w:pPr>
        <w:keepNext w:val="0"/>
        <w:keepLines w:val="0"/>
        <w:pageBreakBefore w:val="0"/>
        <w:widowControl w:val="0"/>
        <w:numPr>
          <w:ilvl w:val="0"/>
          <w:numId w:val="0"/>
        </w:numPr>
        <w:kinsoku/>
        <w:wordWrap/>
        <w:overflowPunct/>
        <w:topLinePunct w:val="0"/>
        <w:autoSpaceDE/>
        <w:autoSpaceDN/>
        <w:bidi w:val="0"/>
        <w:adjustRightInd/>
        <w:snapToGrid/>
        <w:ind w:firstLine="241" w:firstLineChars="100"/>
        <w:jc w:val="both"/>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普通安装</w:t>
      </w:r>
    </w:p>
    <w:p w14:paraId="1E764719">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通常的步骤是将与钢筋计直接焊接到现场的待测钢筋上。钢筋计有足够的长度，可以在不损坏其内部的应变元件而焊接就位。然而，仍应小心以确保钢筋计中心部分不要变得太热，因为线圈骨架和防护环氧树脂可能会融化。为了防止该种情况发生，有必要在焊接部位和仪器中心30cm 段放置湿抹布或焊接时在钢筋计中间部位浇水。同时，当焊接时还要当心不要因高 温损坏电缆。特别注意的是电缆端部的芯线金属线头不要搭接在钢筋网上，以防止焊接时形成回路产生电弧打火而损坏！焊接结束后，仪器电缆应沿钢筋用尼龙扎线每隔1 米绑扎好，避免用铁丝绑扎线固定，以避免电缆因此损伤。当安装钢筋计时，要注意区分并记录所有仪器的安装位置和编号，以便在进行数据处理时，提供正确的率定系数和后期结构应力分析。</w:t>
      </w:r>
    </w:p>
    <w:p w14:paraId="5E181E65">
      <w:pPr>
        <w:keepNext w:val="0"/>
        <w:keepLines w:val="0"/>
        <w:pageBreakBefore w:val="0"/>
        <w:widowControl w:val="0"/>
        <w:numPr>
          <w:ilvl w:val="0"/>
          <w:numId w:val="0"/>
        </w:numPr>
        <w:kinsoku/>
        <w:wordWrap/>
        <w:overflowPunct/>
        <w:topLinePunct w:val="0"/>
        <w:autoSpaceDE/>
        <w:autoSpaceDN/>
        <w:bidi w:val="0"/>
        <w:adjustRightInd/>
        <w:snapToGrid/>
        <w:ind w:firstLine="241" w:firstLineChars="100"/>
        <w:jc w:val="both"/>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“姊妹杆”安装</w:t>
      </w:r>
    </w:p>
    <w:p w14:paraId="06A0B3F9">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eastAsia="zh-CN"/>
        </w:rPr>
      </w:pPr>
      <w:r>
        <w:rPr>
          <w:rFonts w:ascii="宋体" w:hAnsi="宋体" w:eastAsia="宋体" w:cs="宋体"/>
          <w:sz w:val="24"/>
          <w:szCs w:val="24"/>
        </w:rPr>
        <w:t>“姊妹杆”通常采用标准绑扎丝绑扎安装，通常捆扎在钢筋计的两端，如果 钢筋计是捆扎到大直径的钢筋或水平钢筋上是，捆在1/3 位置就足够了。仪器电缆走线应沿着钢筋系统每隔1 米用尼龙扎绳绑好，注意避免在仪器电缆上使用铁丝捆扎，因其可能损害电缆。当安装钢筋计时，要注意区分并记录所有仪器的安装位置和编号</w:t>
      </w:r>
      <w:r>
        <w:rPr>
          <w:rFonts w:hint="eastAsia" w:ascii="宋体" w:hAnsi="宋体" w:eastAsia="宋体" w:cs="宋体"/>
          <w:sz w:val="24"/>
          <w:szCs w:val="24"/>
          <w:lang w:eastAsia="zh-CN"/>
        </w:rPr>
        <w:t>。</w:t>
      </w:r>
    </w:p>
    <w:p w14:paraId="56E401CE">
      <w:pPr>
        <w:keepNext w:val="0"/>
        <w:keepLines w:val="0"/>
        <w:pageBreakBefore w:val="0"/>
        <w:widowControl w:val="0"/>
        <w:numPr>
          <w:ilvl w:val="0"/>
          <w:numId w:val="0"/>
        </w:numPr>
        <w:kinsoku/>
        <w:wordWrap/>
        <w:overflowPunct/>
        <w:topLinePunct w:val="0"/>
        <w:autoSpaceDE/>
        <w:autoSpaceDN/>
        <w:bidi w:val="0"/>
        <w:adjustRightInd/>
        <w:snapToGrid/>
        <w:ind w:firstLine="241" w:firstLineChars="100"/>
        <w:jc w:val="both"/>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用于锚杆的安装</w:t>
      </w:r>
    </w:p>
    <w:p w14:paraId="147B2E2D">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eastAsia="zh-CN"/>
        </w:rPr>
      </w:pPr>
      <w:r>
        <w:rPr>
          <w:rFonts w:ascii="宋体" w:hAnsi="宋体" w:eastAsia="宋体" w:cs="宋体"/>
          <w:sz w:val="24"/>
          <w:szCs w:val="24"/>
        </w:rPr>
        <w:t>用于锚杆测量时，钢筋计直接焊接在待测锚杆的中间，建议使用对焊或坡口焊接工艺。将焊有钢筋计的锚杆推到钻孔中时，应避免损坏电缆，必要时做好保护</w:t>
      </w:r>
      <w:r>
        <w:rPr>
          <w:rFonts w:hint="eastAsia" w:ascii="宋体" w:hAnsi="宋体" w:eastAsia="宋体" w:cs="宋体"/>
          <w:sz w:val="24"/>
          <w:szCs w:val="24"/>
          <w:lang w:eastAsia="zh-CN"/>
        </w:rPr>
        <w:t>。</w:t>
      </w:r>
    </w:p>
    <w:p w14:paraId="6E03E905">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3.4安装注意事项</w:t>
      </w:r>
    </w:p>
    <w:p w14:paraId="4F95ECE8">
      <w:pPr>
        <w:keepNext w:val="0"/>
        <w:keepLines w:val="0"/>
        <w:pageBreakBefore w:val="0"/>
        <w:widowControl w:val="0"/>
        <w:numPr>
          <w:ilvl w:val="0"/>
          <w:numId w:val="5"/>
        </w:numPr>
        <w:kinsoku/>
        <w:wordWrap/>
        <w:overflowPunct/>
        <w:topLinePunct w:val="0"/>
        <w:autoSpaceDE/>
        <w:autoSpaceDN/>
        <w:bidi w:val="0"/>
        <w:adjustRightInd/>
        <w:snapToGrid/>
        <w:jc w:val="both"/>
        <w:textAlignment w:val="auto"/>
        <w:rPr>
          <w:rFonts w:ascii="宋体" w:hAnsi="宋体" w:eastAsia="宋体" w:cs="宋体"/>
          <w:sz w:val="24"/>
          <w:szCs w:val="24"/>
        </w:rPr>
      </w:pPr>
      <w:r>
        <w:rPr>
          <w:rFonts w:ascii="宋体" w:hAnsi="宋体" w:eastAsia="宋体" w:cs="宋体"/>
          <w:sz w:val="24"/>
          <w:szCs w:val="24"/>
        </w:rPr>
        <w:t>本仪器应在额定测量范围内工作；</w:t>
      </w:r>
      <w:r>
        <w:rPr>
          <w:rFonts w:ascii="宋体" w:hAnsi="宋体" w:eastAsia="宋体" w:cs="宋体"/>
          <w:sz w:val="24"/>
          <w:szCs w:val="24"/>
        </w:rPr>
        <w:br w:type="textWrapping"/>
      </w:r>
      <w:r>
        <w:rPr>
          <w:rFonts w:ascii="宋体" w:hAnsi="宋体" w:eastAsia="宋体" w:cs="宋体"/>
          <w:sz w:val="24"/>
          <w:szCs w:val="24"/>
        </w:rPr>
        <w:t>2、仪器引出电缆可达1000米(另购)。用户订货时未加以说明，均按2米长度接线出厂；</w:t>
      </w:r>
      <w:r>
        <w:rPr>
          <w:rFonts w:ascii="宋体" w:hAnsi="宋体" w:eastAsia="宋体" w:cs="宋体"/>
          <w:sz w:val="24"/>
          <w:szCs w:val="24"/>
        </w:rPr>
        <w:br w:type="textWrapping"/>
      </w:r>
      <w:r>
        <w:rPr>
          <w:rFonts w:ascii="宋体" w:hAnsi="宋体" w:eastAsia="宋体" w:cs="宋体"/>
          <w:sz w:val="24"/>
          <w:szCs w:val="24"/>
        </w:rPr>
        <w:t>3、根据现场需要接长电缆时，应注意接头处的防水密封可靠；</w:t>
      </w:r>
    </w:p>
    <w:p w14:paraId="04F81A95">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黑体" w:hAnsi="黑体" w:eastAsia="黑体" w:cs="黑体"/>
          <w:b/>
          <w:bCs/>
          <w:sz w:val="30"/>
          <w:szCs w:val="30"/>
          <w:lang w:val="en-US" w:eastAsia="zh-CN"/>
        </w:rPr>
      </w:pPr>
      <w:r>
        <w:rPr>
          <w:rFonts w:ascii="宋体" w:hAnsi="宋体" w:eastAsia="宋体" w:cs="宋体"/>
          <w:sz w:val="24"/>
          <w:szCs w:val="24"/>
        </w:rPr>
        <w:t>4、仪器未使用放置12个月以上时，使用前应重新进行标定；</w:t>
      </w:r>
    </w:p>
    <w:p w14:paraId="13FFB925">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黑体" w:hAnsi="黑体" w:eastAsia="黑体" w:cs="黑体"/>
          <w:b/>
          <w:bCs/>
          <w:sz w:val="30"/>
          <w:szCs w:val="30"/>
          <w:lang w:val="en-US" w:eastAsia="zh-CN"/>
        </w:rPr>
      </w:pPr>
      <w:r>
        <w:rPr>
          <w:rFonts w:ascii="宋体" w:hAnsi="宋体" w:eastAsia="宋体" w:cs="宋体"/>
          <w:sz w:val="24"/>
          <w:szCs w:val="24"/>
        </w:rPr>
        <w:t>5、请务摔打、碰撞或长时间震动本传感器。请勿使用钢筋计上的电缆来提起钢筋计!</w:t>
      </w:r>
      <w:r>
        <w:rPr>
          <w:rFonts w:ascii="宋体" w:hAnsi="宋体" w:eastAsia="宋体" w:cs="宋体"/>
          <w:sz w:val="24"/>
          <w:szCs w:val="24"/>
        </w:rPr>
        <w:br w:type="textWrapping"/>
      </w:r>
      <w:r>
        <w:rPr>
          <w:rFonts w:ascii="宋体" w:hAnsi="宋体" w:eastAsia="宋体" w:cs="宋体"/>
          <w:sz w:val="24"/>
          <w:szCs w:val="24"/>
        </w:rPr>
        <w:t>6、芯线焊接工作结束后，必须用读数仪进行读数测量检查，并使用万用表测量各芯线间电缆电阻情况。避免因焊接工作造成接头部分芯线短路、短路情况；</w:t>
      </w:r>
      <w:r>
        <w:rPr>
          <w:rFonts w:ascii="宋体" w:hAnsi="宋体" w:eastAsia="宋体" w:cs="宋体"/>
          <w:sz w:val="24"/>
          <w:szCs w:val="24"/>
        </w:rPr>
        <w:br w:type="textWrapping"/>
      </w:r>
      <w:r>
        <w:rPr>
          <w:rFonts w:ascii="宋体" w:hAnsi="宋体" w:eastAsia="宋体" w:cs="宋体"/>
          <w:sz w:val="24"/>
          <w:szCs w:val="24"/>
        </w:rPr>
        <w:t>7、当安装钢筋计时，要注意区分并记录所有仪器的安装位置和编号，以便在进行数据处理时，提供正确的率定系数和后期结构应力分析。</w:t>
      </w:r>
    </w:p>
    <w:p w14:paraId="319BBF51">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产品读数</w:t>
      </w:r>
    </w:p>
    <w:p w14:paraId="508F1DF0">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4.1 读数与计算</w:t>
      </w:r>
    </w:p>
    <w:p w14:paraId="03599CB0">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钢筋应力计的读数可采用振弦读数仪或数据采集仪的间歇激励方式进行读数</w:t>
      </w:r>
    </w:p>
    <w:p w14:paraId="15CC19F5">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测量和数据处理的基本单位是“Digit即模数（字）”。模式和频率的换算公式：</w:t>
      </w:r>
    </w:p>
    <w:p w14:paraId="4BAAB32F">
      <w:pPr>
        <w:keepNext w:val="0"/>
        <w:keepLines w:val="0"/>
        <w:pageBreakBefore w:val="0"/>
        <w:widowControl w:val="0"/>
        <w:numPr>
          <w:ilvl w:val="0"/>
          <w:numId w:val="0"/>
        </w:numPr>
        <w:kinsoku/>
        <w:wordWrap/>
        <w:overflowPunct/>
        <w:topLinePunct w:val="0"/>
        <w:autoSpaceDE/>
        <w:autoSpaceDN/>
        <w:bidi w:val="0"/>
        <w:adjustRightInd/>
        <w:snapToGrid/>
        <w:ind w:firstLine="562" w:firstLineChars="200"/>
        <w:jc w:val="center"/>
        <w:textAlignment w:val="auto"/>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lang w:val="en-US" w:eastAsia="zh-CN"/>
        </w:rPr>
        <w:t>模数=Hz</w:t>
      </w:r>
      <w:r>
        <w:rPr>
          <w:rFonts w:hint="eastAsia" w:ascii="宋体" w:hAnsi="宋体" w:eastAsia="宋体" w:cs="宋体"/>
          <w:b/>
          <w:bCs/>
          <w:sz w:val="28"/>
          <w:szCs w:val="28"/>
          <w:vertAlign w:val="superscript"/>
          <w:lang w:val="en-US" w:eastAsia="zh-CN"/>
        </w:rPr>
        <w:t>2</w:t>
      </w:r>
      <w:r>
        <w:rPr>
          <w:rFonts w:hint="eastAsia" w:ascii="宋体" w:hAnsi="宋体" w:eastAsia="宋体" w:cs="宋体"/>
          <w:b/>
          <w:bCs/>
          <w:sz w:val="28"/>
          <w:szCs w:val="28"/>
          <w:vertAlign w:val="baseline"/>
          <w:lang w:val="en-US" w:eastAsia="zh-CN"/>
        </w:rPr>
        <w:t>/1000</w:t>
      </w:r>
    </w:p>
    <w:p w14:paraId="2B4695DC">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使用下面的公式将数值转换成荷载力值：</w:t>
      </w:r>
    </w:p>
    <w:p w14:paraId="65ADBC6C">
      <w:pPr>
        <w:keepNext w:val="0"/>
        <w:keepLines w:val="0"/>
        <w:pageBreakBefore w:val="0"/>
        <w:widowControl w:val="0"/>
        <w:numPr>
          <w:ilvl w:val="0"/>
          <w:numId w:val="0"/>
        </w:numPr>
        <w:kinsoku/>
        <w:wordWrap/>
        <w:overflowPunct/>
        <w:topLinePunct w:val="0"/>
        <w:autoSpaceDE/>
        <w:autoSpaceDN/>
        <w:bidi w:val="0"/>
        <w:adjustRightInd/>
        <w:snapToGrid/>
        <w:ind w:firstLine="562" w:firstLineChars="200"/>
        <w:jc w:val="center"/>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F（kN）=W*(K1-K2)</w:t>
      </w:r>
    </w:p>
    <w:p w14:paraId="02B6D703">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上式：K1: 为初始读数或零读数，通常在安装前获得</w:t>
      </w:r>
    </w:p>
    <w:p w14:paraId="5A4B8514">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K2: 为当前读数值</w:t>
      </w:r>
    </w:p>
    <w:p w14:paraId="2B4F3780">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  为所提供的的率定表中的率定系数</w:t>
      </w:r>
    </w:p>
    <w:p w14:paraId="53B1358B">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例如，假定初始读数为K1为4256，当前读数K2为6743，率定系数W为0.041273。则可求得荷载力值=（4256-6743）*0.041273=102.6kN</w:t>
      </w:r>
    </w:p>
    <w:p w14:paraId="107F5EDE">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“+”代表受拉，“-”代表受压。</w:t>
      </w:r>
    </w:p>
    <w:p w14:paraId="2548CCBE">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4.2 温度修正</w:t>
      </w:r>
    </w:p>
    <w:p w14:paraId="5B13C901">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钢筋计通常埋在混凝土中，受混凝土应变的影响，钢筋计测到的应力为总应 力。假定在仪器中的应变等于混凝土中的应变，当温度变化时，混凝土以微小于 振弦式钢筋计的频率膨胀和收缩，膨胀系数为：钢筋： 12 .2 ppm /℃，混凝土： ≈10ppm/℃，差值：2.2ppm/℃</w:t>
      </w:r>
    </w:p>
    <w:p w14:paraId="2586EBB1">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因钢弦与钢筋计材质相同，它们具有相同的温度膨胀系数，因此受温度影响 很小。因为计算的应力通常为钢筋的总应力，这也正是所关心的物理量，因此一 般的计算可按照如下公式直接进行计算即可</w:t>
      </w:r>
    </w:p>
    <w:p w14:paraId="0B01A7CE">
      <w:pPr>
        <w:keepNext w:val="0"/>
        <w:keepLines w:val="0"/>
        <w:pageBreakBefore w:val="0"/>
        <w:widowControl w:val="0"/>
        <w:numPr>
          <w:ilvl w:val="0"/>
          <w:numId w:val="0"/>
        </w:numPr>
        <w:kinsoku/>
        <w:wordWrap/>
        <w:overflowPunct/>
        <w:topLinePunct w:val="0"/>
        <w:autoSpaceDE/>
        <w:autoSpaceDN/>
        <w:bidi w:val="0"/>
        <w:adjustRightInd/>
        <w:snapToGrid/>
        <w:ind w:firstLine="562" w:firstLineChars="200"/>
        <w:jc w:val="center"/>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F（kN）=W*(K1-K2)+P*（T1-T0）</w:t>
      </w:r>
    </w:p>
    <w:p w14:paraId="5CF4BA28">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这里: T0</w:t>
      </w:r>
      <w:r>
        <w:rPr>
          <w:rFonts w:hint="eastAsia" w:ascii="宋体" w:hAnsi="宋体" w:eastAsia="宋体" w:cs="宋体"/>
          <w:sz w:val="24"/>
          <w:szCs w:val="24"/>
          <w:lang w:val="en-US" w:eastAsia="zh-CN"/>
        </w:rPr>
        <w:t>:</w:t>
      </w:r>
      <w:r>
        <w:rPr>
          <w:rFonts w:ascii="宋体" w:hAnsi="宋体" w:eastAsia="宋体" w:cs="宋体"/>
          <w:sz w:val="24"/>
          <w:szCs w:val="24"/>
        </w:rPr>
        <w:t xml:space="preserve">  安装前的初始温度 </w:t>
      </w:r>
    </w:p>
    <w:p w14:paraId="1B03FDBC">
      <w:pPr>
        <w:keepNext w:val="0"/>
        <w:keepLines w:val="0"/>
        <w:pageBreakBefore w:val="0"/>
        <w:widowControl w:val="0"/>
        <w:numPr>
          <w:ilvl w:val="0"/>
          <w:numId w:val="0"/>
        </w:numPr>
        <w:kinsoku/>
        <w:wordWrap/>
        <w:overflowPunct/>
        <w:topLinePunct w:val="0"/>
        <w:autoSpaceDE/>
        <w:autoSpaceDN/>
        <w:bidi w:val="0"/>
        <w:adjustRightInd/>
        <w:snapToGrid/>
        <w:ind w:firstLine="1200" w:firstLineChars="500"/>
        <w:jc w:val="both"/>
        <w:textAlignment w:val="auto"/>
        <w:rPr>
          <w:rFonts w:ascii="宋体" w:hAnsi="宋体" w:eastAsia="宋体" w:cs="宋体"/>
          <w:sz w:val="24"/>
          <w:szCs w:val="24"/>
        </w:rPr>
      </w:pPr>
      <w:r>
        <w:rPr>
          <w:rFonts w:ascii="宋体" w:hAnsi="宋体" w:eastAsia="宋体" w:cs="宋体"/>
          <w:sz w:val="24"/>
          <w:szCs w:val="24"/>
        </w:rPr>
        <w:t>T1</w:t>
      </w:r>
      <w:r>
        <w:rPr>
          <w:rFonts w:hint="eastAsia" w:ascii="宋体" w:hAnsi="宋体" w:eastAsia="宋体" w:cs="宋体"/>
          <w:sz w:val="24"/>
          <w:szCs w:val="24"/>
          <w:lang w:val="en-US" w:eastAsia="zh-CN"/>
        </w:rPr>
        <w:t>:</w:t>
      </w:r>
      <w:r>
        <w:rPr>
          <w:rFonts w:ascii="宋体" w:hAnsi="宋体" w:eastAsia="宋体" w:cs="宋体"/>
          <w:sz w:val="24"/>
          <w:szCs w:val="24"/>
        </w:rPr>
        <w:t xml:space="preserve">  为当前温度</w:t>
      </w:r>
    </w:p>
    <w:p w14:paraId="33E25D7D">
      <w:pPr>
        <w:keepNext w:val="0"/>
        <w:keepLines w:val="0"/>
        <w:pageBreakBefore w:val="0"/>
        <w:widowControl w:val="0"/>
        <w:numPr>
          <w:ilvl w:val="0"/>
          <w:numId w:val="0"/>
        </w:numPr>
        <w:kinsoku/>
        <w:wordWrap/>
        <w:overflowPunct/>
        <w:topLinePunct w:val="0"/>
        <w:autoSpaceDE/>
        <w:autoSpaceDN/>
        <w:bidi w:val="0"/>
        <w:adjustRightInd/>
        <w:snapToGrid/>
        <w:ind w:firstLine="1200" w:firstLineChars="500"/>
        <w:jc w:val="both"/>
        <w:textAlignment w:val="auto"/>
        <w:rPr>
          <w:rFonts w:ascii="宋体" w:hAnsi="宋体" w:eastAsia="宋体" w:cs="宋体"/>
          <w:sz w:val="24"/>
          <w:szCs w:val="24"/>
        </w:rPr>
      </w:pPr>
      <w:r>
        <w:rPr>
          <w:rFonts w:hint="eastAsia" w:ascii="宋体" w:hAnsi="宋体" w:eastAsia="宋体" w:cs="宋体"/>
          <w:sz w:val="24"/>
          <w:szCs w:val="24"/>
          <w:lang w:val="en-US" w:eastAsia="zh-CN"/>
        </w:rPr>
        <w:t>P:</w:t>
      </w:r>
      <w:r>
        <w:rPr>
          <w:rFonts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为传感器的温度修正系数 </w:t>
      </w:r>
    </w:p>
    <w:p w14:paraId="2E867F60">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b/>
          <w:bCs/>
          <w:sz w:val="28"/>
          <w:szCs w:val="28"/>
          <w:lang w:val="en-US" w:eastAsia="zh-CN"/>
        </w:rPr>
      </w:pPr>
      <w:r>
        <w:rPr>
          <w:rFonts w:ascii="宋体" w:hAnsi="宋体" w:eastAsia="宋体" w:cs="宋体"/>
          <w:sz w:val="24"/>
          <w:szCs w:val="24"/>
        </w:rPr>
        <w:t>通常情况下，由于温度对振弦传感器影响甚小，可不予修正。具体的计算方 法以率定表中提供的计算公式及系数为准</w:t>
      </w:r>
      <w:r>
        <w:rPr>
          <w:rFonts w:hint="eastAsia" w:ascii="宋体" w:hAnsi="宋体" w:eastAsia="宋体" w:cs="宋体"/>
          <w:sz w:val="24"/>
          <w:szCs w:val="24"/>
          <w:lang w:val="en-US" w:eastAsia="zh-CN"/>
        </w:rPr>
        <w:t>.</w:t>
      </w:r>
    </w:p>
    <w:p w14:paraId="14E4F157">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故障排除</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19"/>
        <w:gridCol w:w="5803"/>
      </w:tblGrid>
      <w:tr w14:paraId="58F5D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9" w:type="dxa"/>
          </w:tcPr>
          <w:p w14:paraId="7960050B">
            <w:pPr>
              <w:bidi w:val="0"/>
              <w:rPr>
                <w:rFonts w:hint="default"/>
                <w:lang w:val="en-US" w:eastAsia="zh-CN"/>
              </w:rPr>
            </w:pPr>
            <w:r>
              <w:rPr>
                <w:rFonts w:hint="eastAsia"/>
                <w:lang w:val="en-US" w:eastAsia="zh-CN"/>
              </w:rPr>
              <w:t>故障现象</w:t>
            </w:r>
          </w:p>
        </w:tc>
        <w:tc>
          <w:tcPr>
            <w:tcW w:w="5803" w:type="dxa"/>
          </w:tcPr>
          <w:p w14:paraId="2002F266">
            <w:pPr>
              <w:bidi w:val="0"/>
              <w:rPr>
                <w:rFonts w:hint="default"/>
                <w:lang w:val="en-US" w:eastAsia="zh-CN"/>
              </w:rPr>
            </w:pPr>
            <w:r>
              <w:rPr>
                <w:rFonts w:hint="eastAsia"/>
                <w:lang w:val="en-US" w:eastAsia="zh-CN"/>
              </w:rPr>
              <w:t>解决办法</w:t>
            </w:r>
          </w:p>
        </w:tc>
      </w:tr>
      <w:tr w14:paraId="4912A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9" w:type="dxa"/>
          </w:tcPr>
          <w:p w14:paraId="721C3C0C">
            <w:pPr>
              <w:bidi w:val="0"/>
              <w:rPr>
                <w:rFonts w:hint="default"/>
                <w:lang w:val="en-US" w:eastAsia="zh-CN"/>
              </w:rPr>
            </w:pPr>
            <w:r>
              <w:t>钢筋计读数不稳</w:t>
            </w:r>
          </w:p>
        </w:tc>
        <w:tc>
          <w:tcPr>
            <w:tcW w:w="5803" w:type="dxa"/>
          </w:tcPr>
          <w:p w14:paraId="2467EE89">
            <w:pPr>
              <w:numPr>
                <w:ilvl w:val="0"/>
                <w:numId w:val="6"/>
              </w:numPr>
              <w:bidi w:val="0"/>
              <w:ind w:left="420" w:leftChars="0" w:hanging="420" w:firstLineChars="0"/>
            </w:pPr>
            <w:r>
              <w:t>检查附近是否有电噪干扰源。大多数可能的电噪干扰源为马达、发动机和天线。不管是使用便携式读数仪还是数据记录仪，应确保屏蔽线可靠接地</w:t>
            </w:r>
            <w:r>
              <w:rPr>
                <w:rFonts w:hint="eastAsia"/>
                <w:lang w:eastAsia="zh-CN"/>
              </w:rPr>
              <w:t>。</w:t>
            </w:r>
          </w:p>
          <w:p w14:paraId="6B40D327">
            <w:pPr>
              <w:numPr>
                <w:ilvl w:val="0"/>
                <w:numId w:val="6"/>
              </w:numPr>
              <w:bidi w:val="0"/>
              <w:ind w:left="420" w:leftChars="0" w:hanging="420" w:firstLineChars="0"/>
              <w:rPr>
                <w:rFonts w:hint="default"/>
                <w:lang w:val="en-US" w:eastAsia="zh-CN"/>
              </w:rPr>
            </w:pPr>
            <w:r>
              <w:t>检查读数仪与传感器芯线是否可靠连接。测量时只能连接单只传感器。如果读数仪测量每只传感器均不正常，有可能是读数仪电力不足或读数仪出现故障，可更换读数仪进行测试、确认</w:t>
            </w:r>
            <w:r>
              <w:rPr>
                <w:rFonts w:hint="eastAsia"/>
                <w:lang w:eastAsia="zh-CN"/>
              </w:rPr>
              <w:t>。</w:t>
            </w:r>
          </w:p>
        </w:tc>
      </w:tr>
      <w:tr w14:paraId="64715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9" w:type="dxa"/>
          </w:tcPr>
          <w:p w14:paraId="3C9B4D48">
            <w:pPr>
              <w:bidi w:val="0"/>
              <w:rPr>
                <w:rFonts w:hint="default"/>
                <w:lang w:val="en-US" w:eastAsia="zh-CN"/>
              </w:rPr>
            </w:pPr>
            <w:r>
              <w:t>钢筋计不能读数</w:t>
            </w:r>
          </w:p>
        </w:tc>
        <w:tc>
          <w:tcPr>
            <w:tcW w:w="5803" w:type="dxa"/>
          </w:tcPr>
          <w:p w14:paraId="30A1480B">
            <w:pPr>
              <w:numPr>
                <w:ilvl w:val="0"/>
                <w:numId w:val="7"/>
              </w:numPr>
              <w:bidi w:val="0"/>
              <w:ind w:left="420" w:leftChars="0" w:hanging="420" w:firstLineChars="0"/>
            </w:pPr>
            <w:r>
              <w:t>检查芯线电阻。检查时使用用欧姆表来检测。通常红、黑芯线之间的电阻为180Ω ±10 Ω ，需加上芯线电阻（22AWG双绞铜线大约为50Ω /km，双向乘以2）。如果电阻无穷大或非常大（兆欧），应怀疑电缆断路。如果电阻非常 低（＜50Ω），电缆有可能短路。绿、白芯线间电阻通常为1～5kΩ （温度为 25℃时热敏电阻为3000Ω ），如果芯线电阻异常，可能是电缆断路或短路</w:t>
            </w:r>
            <w:r>
              <w:rPr>
                <w:rFonts w:hint="eastAsia"/>
                <w:lang w:eastAsia="zh-CN"/>
              </w:rPr>
              <w:t>。</w:t>
            </w:r>
          </w:p>
          <w:p w14:paraId="4D8E2360">
            <w:pPr>
              <w:numPr>
                <w:ilvl w:val="0"/>
                <w:numId w:val="7"/>
              </w:numPr>
              <w:bidi w:val="0"/>
              <w:ind w:left="420" w:leftChars="0" w:hanging="420" w:firstLineChars="0"/>
              <w:rPr>
                <w:rFonts w:hint="default"/>
                <w:lang w:val="en-US" w:eastAsia="zh-CN"/>
              </w:rPr>
            </w:pPr>
            <w:r>
              <w:t>如果读数仪测量每只传感器均无读数，有可能是读数仪电力不足或读数仪出现故障，可更换读数仪进行测试、确认</w:t>
            </w:r>
            <w:r>
              <w:rPr>
                <w:rFonts w:hint="eastAsia"/>
                <w:lang w:eastAsia="zh-CN"/>
              </w:rPr>
              <w:t>。</w:t>
            </w:r>
          </w:p>
        </w:tc>
      </w:tr>
    </w:tbl>
    <w:p w14:paraId="59FF3DF1">
      <w:pPr>
        <w:widowControl w:val="0"/>
        <w:numPr>
          <w:ilvl w:val="0"/>
          <w:numId w:val="0"/>
        </w:numPr>
        <w:jc w:val="both"/>
        <w:rPr>
          <w:rFonts w:hint="default" w:ascii="黑体" w:hAnsi="黑体" w:eastAsia="黑体" w:cs="黑体"/>
          <w:b/>
          <w:bCs/>
          <w:sz w:val="36"/>
          <w:szCs w:val="36"/>
          <w:lang w:val="en-US" w:eastAsia="zh-CN"/>
        </w:rPr>
      </w:pPr>
    </w:p>
    <w:p w14:paraId="7DF0EB3D">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p>
    <w:p w14:paraId="6C3657F6">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62E5DF"/>
    <w:multiLevelType w:val="singleLevel"/>
    <w:tmpl w:val="9762E5DF"/>
    <w:lvl w:ilvl="0" w:tentative="0">
      <w:start w:val="1"/>
      <w:numFmt w:val="chineseCounting"/>
      <w:suff w:val="space"/>
      <w:lvlText w:val="第%1章"/>
      <w:lvlJc w:val="left"/>
      <w:rPr>
        <w:rFonts w:hint="eastAsia"/>
      </w:rPr>
    </w:lvl>
  </w:abstractNum>
  <w:abstractNum w:abstractNumId="1">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C0E153F8"/>
    <w:multiLevelType w:val="singleLevel"/>
    <w:tmpl w:val="C0E153F8"/>
    <w:lvl w:ilvl="0" w:tentative="0">
      <w:start w:val="1"/>
      <w:numFmt w:val="bullet"/>
      <w:lvlText w:val=""/>
      <w:lvlJc w:val="left"/>
      <w:pPr>
        <w:ind w:left="420" w:hanging="420"/>
      </w:pPr>
      <w:rPr>
        <w:rFonts w:hint="default" w:ascii="Wingdings" w:hAnsi="Wingdings"/>
      </w:rPr>
    </w:lvl>
  </w:abstractNum>
  <w:abstractNum w:abstractNumId="3">
    <w:nsid w:val="D13630AD"/>
    <w:multiLevelType w:val="multilevel"/>
    <w:tmpl w:val="D13630AD"/>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4">
    <w:nsid w:val="D80802B5"/>
    <w:multiLevelType w:val="singleLevel"/>
    <w:tmpl w:val="D80802B5"/>
    <w:lvl w:ilvl="0" w:tentative="0">
      <w:start w:val="1"/>
      <w:numFmt w:val="bullet"/>
      <w:lvlText w:val=""/>
      <w:lvlJc w:val="left"/>
      <w:pPr>
        <w:ind w:left="420" w:hanging="420"/>
      </w:pPr>
      <w:rPr>
        <w:rFonts w:hint="default" w:ascii="Wingdings" w:hAnsi="Wingdings"/>
      </w:rPr>
    </w:lvl>
  </w:abstractNum>
  <w:abstractNum w:abstractNumId="5">
    <w:nsid w:val="10033E29"/>
    <w:multiLevelType w:val="singleLevel"/>
    <w:tmpl w:val="10033E29"/>
    <w:lvl w:ilvl="0" w:tentative="0">
      <w:start w:val="1"/>
      <w:numFmt w:val="decimal"/>
      <w:suff w:val="nothing"/>
      <w:lvlText w:val="%1、"/>
      <w:lvlJc w:val="left"/>
    </w:lvl>
  </w:abstractNum>
  <w:abstractNum w:abstractNumId="6">
    <w:nsid w:val="623903A7"/>
    <w:multiLevelType w:val="singleLevel"/>
    <w:tmpl w:val="623903A7"/>
    <w:lvl w:ilvl="0" w:tentative="0">
      <w:start w:val="1"/>
      <w:numFmt w:val="bullet"/>
      <w:lvlText w:val=""/>
      <w:lvlJc w:val="left"/>
      <w:pPr>
        <w:ind w:left="420" w:hanging="420"/>
      </w:pPr>
      <w:rPr>
        <w:rFonts w:hint="default" w:ascii="Wingdings" w:hAnsi="Wingdings"/>
      </w:rPr>
    </w:lvl>
  </w:abstractNum>
  <w:num w:numId="1">
    <w:abstractNumId w:val="1"/>
  </w:num>
  <w:num w:numId="2">
    <w:abstractNumId w:val="0"/>
  </w:num>
  <w:num w:numId="3">
    <w:abstractNumId w:val="3"/>
  </w:num>
  <w:num w:numId="4">
    <w:abstractNumId w:val="6"/>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hlY2Y4MjFhMTk2YmEyYTNiNTdjYjE3YWY1OTc3MjYifQ=="/>
    <w:docVar w:name="KSO_WPS_MARK_KEY" w:val="be83192b-fec3-4e45-952d-97dff66736cb"/>
  </w:docVars>
  <w:rsids>
    <w:rsidRoot w:val="6EEF6502"/>
    <w:rsid w:val="03793BCB"/>
    <w:rsid w:val="0527236F"/>
    <w:rsid w:val="14D7185D"/>
    <w:rsid w:val="2642382B"/>
    <w:rsid w:val="3B8C3300"/>
    <w:rsid w:val="40664B58"/>
    <w:rsid w:val="421F28ED"/>
    <w:rsid w:val="4F963FCB"/>
    <w:rsid w:val="575E7C19"/>
    <w:rsid w:val="575F3C4E"/>
    <w:rsid w:val="584E1CEF"/>
    <w:rsid w:val="6DE35DF5"/>
    <w:rsid w:val="6EBF6980"/>
    <w:rsid w:val="6EEF6502"/>
    <w:rsid w:val="783C02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4"/>
      <w:szCs w:val="24"/>
      <w:lang w:val="en-US" w:eastAsia="zh-CN" w:bidi="ar-SA"/>
    </w:rPr>
  </w:style>
  <w:style w:type="paragraph" w:styleId="2">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3350</Words>
  <Characters>3626</Characters>
  <Lines>0</Lines>
  <Paragraphs>0</Paragraphs>
  <TotalTime>47</TotalTime>
  <ScaleCrop>false</ScaleCrop>
  <LinksUpToDate>false</LinksUpToDate>
  <CharactersWithSpaces>3774</CharactersWithSpaces>
  <Application>WPS Office_12.1.0.17468_F1E327BC-269C-435d-A152-05C5408002CA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2024-07-08T08:20:00Z</dcterms:created>
  <dc:creator>fewevd</dc:creator>
  <cp:lastModifiedBy>Me I。</cp:lastModifiedBy>
  <cp:lastPrinted>2024-07-11T02:45:00Z</cp:lastPrinted>
  <dcterms:modified xsi:type="dcterms:W3CDTF">2024-07-17T07:44:53Z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2052-12.1.0.17468</vt:lpwstr>
  </property>
  <property fmtid="{D5CDD505-2E9C-101B-9397-08002B2CF9AE}" pid="3" name="ICV">
    <vt:lpwstr>A79972C7A22E4B88973F7C1E289A6FA7_11</vt:lpwstr>
  </property>
</Properties>
</file>