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372B21">
      <w:pPr>
        <w:sectPr>
          <w:pgSz w:w="11906" w:h="16838"/>
          <w:pgMar w:top="1440" w:right="1800" w:bottom="1440" w:left="1800" w:header="851" w:footer="992" w:gutter="0"/>
          <w:cols w:space="425" w:num="1"/>
          <w:docGrid w:type="lines" w:linePitch="312" w:charSpace="0"/>
        </w:sectPr>
      </w:pPr>
      <w:r>
        <w:drawing>
          <wp:anchor distT="0" distB="0" distL="114300" distR="114300" simplePos="0" relativeHeight="251660288" behindDoc="1" locked="0" layoutInCell="1" allowOverlap="1">
            <wp:simplePos x="0" y="0"/>
            <wp:positionH relativeFrom="page">
              <wp:posOffset>-20955</wp:posOffset>
            </wp:positionH>
            <wp:positionV relativeFrom="page">
              <wp:posOffset>225425</wp:posOffset>
            </wp:positionV>
            <wp:extent cx="7566660" cy="10696575"/>
            <wp:effectExtent l="0" t="0" r="15240"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5"/>
                    <a:stretch>
                      <a:fillRect/>
                    </a:stretch>
                  </pic:blipFill>
                  <pic:spPr>
                    <a:xfrm>
                      <a:off x="0" y="0"/>
                      <a:ext cx="7566660" cy="10696575"/>
                    </a:xfrm>
                    <a:prstGeom prst="rect">
                      <a:avLst/>
                    </a:prstGeom>
                    <a:noFill/>
                    <a:ln>
                      <a:noFill/>
                    </a:ln>
                  </pic:spPr>
                </pic:pic>
              </a:graphicData>
            </a:graphic>
          </wp:anchor>
        </w:drawing>
      </w:r>
      <w:r>
        <w:rPr>
          <w:sz w:val="24"/>
        </w:rPr>
        <mc:AlternateContent>
          <mc:Choice Requires="wps">
            <w:drawing>
              <wp:anchor distT="0" distB="0" distL="114300" distR="114300" simplePos="0" relativeHeight="251661312" behindDoc="0" locked="0" layoutInCell="1" allowOverlap="1">
                <wp:simplePos x="0" y="0"/>
                <wp:positionH relativeFrom="column">
                  <wp:posOffset>-395605</wp:posOffset>
                </wp:positionH>
                <wp:positionV relativeFrom="paragraph">
                  <wp:posOffset>-17780</wp:posOffset>
                </wp:positionV>
                <wp:extent cx="6346190" cy="3619500"/>
                <wp:effectExtent l="0" t="0" r="0" b="0"/>
                <wp:wrapNone/>
                <wp:docPr id="2" name="文本框 2"/>
                <wp:cNvGraphicFramePr/>
                <a:graphic xmlns:a="http://schemas.openxmlformats.org/drawingml/2006/main">
                  <a:graphicData uri="http://schemas.microsoft.com/office/word/2010/wordprocessingShape">
                    <wps:wsp>
                      <wps:cNvSpPr txBox="1"/>
                      <wps:spPr>
                        <a:xfrm>
                          <a:off x="1152525" y="685800"/>
                          <a:ext cx="6346190" cy="3619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8"/>
                              <w:tblW w:w="0" w:type="auto"/>
                              <w:tblInd w:w="108" w:type="dxa"/>
                              <w:tblLayout w:type="fixed"/>
                              <w:tblCellMar>
                                <w:top w:w="0" w:type="dxa"/>
                                <w:left w:w="108" w:type="dxa"/>
                                <w:bottom w:w="0" w:type="dxa"/>
                                <w:right w:w="108" w:type="dxa"/>
                              </w:tblCellMar>
                            </w:tblPr>
                            <w:tblGrid>
                              <w:gridCol w:w="9680"/>
                            </w:tblGrid>
                            <w:tr w14:paraId="57B7F8D0">
                              <w:tblPrEx>
                                <w:tblCellMar>
                                  <w:top w:w="0" w:type="dxa"/>
                                  <w:left w:w="108" w:type="dxa"/>
                                  <w:bottom w:w="0" w:type="dxa"/>
                                  <w:right w:w="108" w:type="dxa"/>
                                </w:tblCellMar>
                              </w:tblPrEx>
                              <w:trPr>
                                <w:trHeight w:val="1022" w:hRule="atLeast"/>
                              </w:trPr>
                              <w:tc>
                                <w:tcPr>
                                  <w:tcW w:w="9680" w:type="dxa"/>
                                  <w:noWrap w:val="0"/>
                                  <w:vAlign w:val="top"/>
                                </w:tcPr>
                                <w:p w14:paraId="3E49F785">
                                  <w:pPr>
                                    <w:jc w:val="center"/>
                                    <w:rPr>
                                      <w:rFonts w:hint="eastAsia"/>
                                      <w:b/>
                                      <w:bCs/>
                                      <w:sz w:val="72"/>
                                      <w:szCs w:val="72"/>
                                      <w:lang w:val="en-US" w:eastAsia="zh-CN"/>
                                    </w:rPr>
                                  </w:pPr>
                                  <w:r>
                                    <w:rPr>
                                      <w:rFonts w:hint="eastAsia"/>
                                      <w:b/>
                                      <w:bCs/>
                                      <w:sz w:val="72"/>
                                      <w:szCs w:val="72"/>
                                      <w:lang w:val="en-US" w:eastAsia="zh-CN"/>
                                    </w:rPr>
                                    <w:t>超声波测</w:t>
                                  </w:r>
                                </w:p>
                                <w:p w14:paraId="432E74AD">
                                  <w:pPr>
                                    <w:ind w:firstLine="2168" w:firstLineChars="300"/>
                                    <w:jc w:val="both"/>
                                    <w:rPr>
                                      <w:rFonts w:hint="default" w:eastAsia="宋体"/>
                                      <w:b/>
                                      <w:bCs/>
                                      <w:sz w:val="72"/>
                                      <w:szCs w:val="72"/>
                                      <w:lang w:val="en-US" w:eastAsia="zh-CN"/>
                                    </w:rPr>
                                  </w:pPr>
                                  <w:r>
                                    <w:rPr>
                                      <w:rFonts w:hint="eastAsia"/>
                                      <w:b/>
                                      <w:bCs/>
                                      <w:sz w:val="72"/>
                                      <w:szCs w:val="72"/>
                                      <w:lang w:val="en-US" w:eastAsia="zh-CN"/>
                                    </w:rPr>
                                    <w:t>流箱使用说明书</w:t>
                                  </w:r>
                                </w:p>
                              </w:tc>
                            </w:tr>
                            <w:tr w14:paraId="7EFA7B38">
                              <w:tblPrEx>
                                <w:tblCellMar>
                                  <w:top w:w="0" w:type="dxa"/>
                                  <w:left w:w="108" w:type="dxa"/>
                                  <w:bottom w:w="0" w:type="dxa"/>
                                  <w:right w:w="108" w:type="dxa"/>
                                </w:tblCellMar>
                              </w:tblPrEx>
                              <w:trPr>
                                <w:trHeight w:val="306" w:hRule="atLeast"/>
                              </w:trPr>
                              <w:tc>
                                <w:tcPr>
                                  <w:tcW w:w="9680" w:type="dxa"/>
                                  <w:noWrap w:val="0"/>
                                  <w:vAlign w:val="top"/>
                                </w:tcPr>
                                <w:p w14:paraId="2640222C">
                                  <w:pPr>
                                    <w:jc w:val="both"/>
                                    <w:rPr>
                                      <w:b/>
                                      <w:bCs/>
                                      <w:sz w:val="52"/>
                                      <w:szCs w:val="52"/>
                                    </w:rPr>
                                  </w:pPr>
                                </w:p>
                              </w:tc>
                            </w:tr>
                            <w:tr w14:paraId="62E74B2D">
                              <w:tblPrEx>
                                <w:tblCellMar>
                                  <w:top w:w="0" w:type="dxa"/>
                                  <w:left w:w="108" w:type="dxa"/>
                                  <w:bottom w:w="0" w:type="dxa"/>
                                  <w:right w:w="108" w:type="dxa"/>
                                </w:tblCellMar>
                              </w:tblPrEx>
                              <w:trPr>
                                <w:trHeight w:val="515" w:hRule="atLeast"/>
                              </w:trPr>
                              <w:tc>
                                <w:tcPr>
                                  <w:tcW w:w="9680" w:type="dxa"/>
                                  <w:noWrap w:val="0"/>
                                  <w:vAlign w:val="top"/>
                                </w:tcPr>
                                <w:p w14:paraId="5071DECE">
                                  <w:pPr>
                                    <w:jc w:val="right"/>
                                    <w:rPr>
                                      <w:rFonts w:hint="default" w:eastAsia="宋体"/>
                                      <w:b/>
                                      <w:bCs/>
                                      <w:sz w:val="44"/>
                                      <w:szCs w:val="44"/>
                                      <w:lang w:val="en-US" w:eastAsia="zh-CN"/>
                                    </w:rPr>
                                  </w:pPr>
                                  <w:bookmarkStart w:id="6" w:name="OLE_LINK1"/>
                                  <w:r>
                                    <w:rPr>
                                      <w:rFonts w:hint="eastAsia"/>
                                      <w:b/>
                                      <w:bCs/>
                                      <w:sz w:val="44"/>
                                      <w:szCs w:val="44"/>
                                    </w:rPr>
                                    <w:t>J</w:t>
                                  </w:r>
                                  <w:r>
                                    <w:rPr>
                                      <w:rFonts w:hint="eastAsia"/>
                                      <w:b/>
                                      <w:bCs/>
                                      <w:sz w:val="44"/>
                                      <w:szCs w:val="44"/>
                                      <w:lang w:val="en-US" w:eastAsia="zh-CN"/>
                                    </w:rPr>
                                    <w:t>CSB</w:t>
                                  </w:r>
                                  <w:r>
                                    <w:rPr>
                                      <w:rFonts w:hint="eastAsia"/>
                                      <w:b/>
                                      <w:bCs/>
                                      <w:sz w:val="44"/>
                                      <w:szCs w:val="44"/>
                                    </w:rPr>
                                    <w:t>-</w:t>
                                  </w:r>
                                  <w:r>
                                    <w:rPr>
                                      <w:rFonts w:hint="eastAsia"/>
                                      <w:b/>
                                      <w:bCs/>
                                      <w:sz w:val="44"/>
                                      <w:szCs w:val="44"/>
                                      <w:lang w:val="en-US" w:eastAsia="zh-CN"/>
                                    </w:rPr>
                                    <w:t>CLX</w:t>
                                  </w:r>
                                  <w:bookmarkEnd w:id="6"/>
                                </w:p>
                              </w:tc>
                            </w:tr>
                            <w:tr w14:paraId="5B5D13D8">
                              <w:tblPrEx>
                                <w:tblCellMar>
                                  <w:top w:w="0" w:type="dxa"/>
                                  <w:left w:w="108" w:type="dxa"/>
                                  <w:bottom w:w="0" w:type="dxa"/>
                                  <w:right w:w="108" w:type="dxa"/>
                                </w:tblCellMar>
                              </w:tblPrEx>
                              <w:trPr>
                                <w:trHeight w:val="932" w:hRule="atLeast"/>
                              </w:trPr>
                              <w:tc>
                                <w:tcPr>
                                  <w:tcW w:w="9680" w:type="dxa"/>
                                  <w:noWrap w:val="0"/>
                                  <w:vAlign w:val="top"/>
                                </w:tcPr>
                                <w:p w14:paraId="66034754">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14:paraId="14A79036"/>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15pt;margin-top:-1.4pt;height:285pt;width:499.7pt;z-index:251661312;mso-width-relative:page;mso-height-relative:page;" filled="f" stroked="f" coordsize="21600,21600" o:gfxdata="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aec5A3AAAAAoBAAAPAAAAAAAAAAEA&#10;IAAAACIAAABkcnMvZG93bnJldi54bWxQSwECFAAUAAAACACHTuJA9syBZEQCAAByBAAADgAAAAAA&#10;AAABACAAAAArAQAAZHJzL2Uyb0RvYy54bWxQSwUGAAAAAAYABgBZAQAA4QUAAAAA&#10;">
                <v:fill on="f" focussize="0,0"/>
                <v:stroke on="f" weight="0.5pt"/>
                <v:imagedata o:title=""/>
                <o:lock v:ext="edit" aspectratio="f"/>
                <v:textbox>
                  <w:txbxContent>
                    <w:tbl>
                      <w:tblPr>
                        <w:tblStyle w:val="8"/>
                        <w:tblW w:w="0" w:type="auto"/>
                        <w:tblInd w:w="108" w:type="dxa"/>
                        <w:tblLayout w:type="fixed"/>
                        <w:tblCellMar>
                          <w:top w:w="0" w:type="dxa"/>
                          <w:left w:w="108" w:type="dxa"/>
                          <w:bottom w:w="0" w:type="dxa"/>
                          <w:right w:w="108" w:type="dxa"/>
                        </w:tblCellMar>
                      </w:tblPr>
                      <w:tblGrid>
                        <w:gridCol w:w="9680"/>
                      </w:tblGrid>
                      <w:tr w14:paraId="57B7F8D0">
                        <w:tblPrEx>
                          <w:tblCellMar>
                            <w:top w:w="0" w:type="dxa"/>
                            <w:left w:w="108" w:type="dxa"/>
                            <w:bottom w:w="0" w:type="dxa"/>
                            <w:right w:w="108" w:type="dxa"/>
                          </w:tblCellMar>
                        </w:tblPrEx>
                        <w:trPr>
                          <w:trHeight w:val="1022" w:hRule="atLeast"/>
                        </w:trPr>
                        <w:tc>
                          <w:tcPr>
                            <w:tcW w:w="9680" w:type="dxa"/>
                            <w:noWrap w:val="0"/>
                            <w:vAlign w:val="top"/>
                          </w:tcPr>
                          <w:p w14:paraId="3E49F785">
                            <w:pPr>
                              <w:jc w:val="center"/>
                              <w:rPr>
                                <w:rFonts w:hint="eastAsia"/>
                                <w:b/>
                                <w:bCs/>
                                <w:sz w:val="72"/>
                                <w:szCs w:val="72"/>
                                <w:lang w:val="en-US" w:eastAsia="zh-CN"/>
                              </w:rPr>
                            </w:pPr>
                            <w:r>
                              <w:rPr>
                                <w:rFonts w:hint="eastAsia"/>
                                <w:b/>
                                <w:bCs/>
                                <w:sz w:val="72"/>
                                <w:szCs w:val="72"/>
                                <w:lang w:val="en-US" w:eastAsia="zh-CN"/>
                              </w:rPr>
                              <w:t>超声波测</w:t>
                            </w:r>
                          </w:p>
                          <w:p w14:paraId="432E74AD">
                            <w:pPr>
                              <w:ind w:firstLine="2168" w:firstLineChars="300"/>
                              <w:jc w:val="both"/>
                              <w:rPr>
                                <w:rFonts w:hint="default" w:eastAsia="宋体"/>
                                <w:b/>
                                <w:bCs/>
                                <w:sz w:val="72"/>
                                <w:szCs w:val="72"/>
                                <w:lang w:val="en-US" w:eastAsia="zh-CN"/>
                              </w:rPr>
                            </w:pPr>
                            <w:r>
                              <w:rPr>
                                <w:rFonts w:hint="eastAsia"/>
                                <w:b/>
                                <w:bCs/>
                                <w:sz w:val="72"/>
                                <w:szCs w:val="72"/>
                                <w:lang w:val="en-US" w:eastAsia="zh-CN"/>
                              </w:rPr>
                              <w:t>流箱使用说明书</w:t>
                            </w:r>
                          </w:p>
                        </w:tc>
                      </w:tr>
                      <w:tr w14:paraId="7EFA7B38">
                        <w:tblPrEx>
                          <w:tblCellMar>
                            <w:top w:w="0" w:type="dxa"/>
                            <w:left w:w="108" w:type="dxa"/>
                            <w:bottom w:w="0" w:type="dxa"/>
                            <w:right w:w="108" w:type="dxa"/>
                          </w:tblCellMar>
                        </w:tblPrEx>
                        <w:trPr>
                          <w:trHeight w:val="306" w:hRule="atLeast"/>
                        </w:trPr>
                        <w:tc>
                          <w:tcPr>
                            <w:tcW w:w="9680" w:type="dxa"/>
                            <w:noWrap w:val="0"/>
                            <w:vAlign w:val="top"/>
                          </w:tcPr>
                          <w:p w14:paraId="2640222C">
                            <w:pPr>
                              <w:jc w:val="both"/>
                              <w:rPr>
                                <w:b/>
                                <w:bCs/>
                                <w:sz w:val="52"/>
                                <w:szCs w:val="52"/>
                              </w:rPr>
                            </w:pPr>
                          </w:p>
                        </w:tc>
                      </w:tr>
                      <w:tr w14:paraId="62E74B2D">
                        <w:tblPrEx>
                          <w:tblCellMar>
                            <w:top w:w="0" w:type="dxa"/>
                            <w:left w:w="108" w:type="dxa"/>
                            <w:bottom w:w="0" w:type="dxa"/>
                            <w:right w:w="108" w:type="dxa"/>
                          </w:tblCellMar>
                        </w:tblPrEx>
                        <w:trPr>
                          <w:trHeight w:val="515" w:hRule="atLeast"/>
                        </w:trPr>
                        <w:tc>
                          <w:tcPr>
                            <w:tcW w:w="9680" w:type="dxa"/>
                            <w:noWrap w:val="0"/>
                            <w:vAlign w:val="top"/>
                          </w:tcPr>
                          <w:p w14:paraId="5071DECE">
                            <w:pPr>
                              <w:jc w:val="right"/>
                              <w:rPr>
                                <w:rFonts w:hint="default" w:eastAsia="宋体"/>
                                <w:b/>
                                <w:bCs/>
                                <w:sz w:val="44"/>
                                <w:szCs w:val="44"/>
                                <w:lang w:val="en-US" w:eastAsia="zh-CN"/>
                              </w:rPr>
                            </w:pPr>
                            <w:bookmarkStart w:id="6" w:name="OLE_LINK1"/>
                            <w:r>
                              <w:rPr>
                                <w:rFonts w:hint="eastAsia"/>
                                <w:b/>
                                <w:bCs/>
                                <w:sz w:val="44"/>
                                <w:szCs w:val="44"/>
                              </w:rPr>
                              <w:t>J</w:t>
                            </w:r>
                            <w:r>
                              <w:rPr>
                                <w:rFonts w:hint="eastAsia"/>
                                <w:b/>
                                <w:bCs/>
                                <w:sz w:val="44"/>
                                <w:szCs w:val="44"/>
                                <w:lang w:val="en-US" w:eastAsia="zh-CN"/>
                              </w:rPr>
                              <w:t>CSB</w:t>
                            </w:r>
                            <w:r>
                              <w:rPr>
                                <w:rFonts w:hint="eastAsia"/>
                                <w:b/>
                                <w:bCs/>
                                <w:sz w:val="44"/>
                                <w:szCs w:val="44"/>
                              </w:rPr>
                              <w:t>-</w:t>
                            </w:r>
                            <w:r>
                              <w:rPr>
                                <w:rFonts w:hint="eastAsia"/>
                                <w:b/>
                                <w:bCs/>
                                <w:sz w:val="44"/>
                                <w:szCs w:val="44"/>
                                <w:lang w:val="en-US" w:eastAsia="zh-CN"/>
                              </w:rPr>
                              <w:t>CLX</w:t>
                            </w:r>
                            <w:bookmarkEnd w:id="6"/>
                          </w:p>
                        </w:tc>
                      </w:tr>
                      <w:tr w14:paraId="5B5D13D8">
                        <w:tblPrEx>
                          <w:tblCellMar>
                            <w:top w:w="0" w:type="dxa"/>
                            <w:left w:w="108" w:type="dxa"/>
                            <w:bottom w:w="0" w:type="dxa"/>
                            <w:right w:w="108" w:type="dxa"/>
                          </w:tblCellMar>
                        </w:tblPrEx>
                        <w:trPr>
                          <w:trHeight w:val="932" w:hRule="atLeast"/>
                        </w:trPr>
                        <w:tc>
                          <w:tcPr>
                            <w:tcW w:w="9680" w:type="dxa"/>
                            <w:noWrap w:val="0"/>
                            <w:vAlign w:val="top"/>
                          </w:tcPr>
                          <w:p w14:paraId="66034754">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14:paraId="14A79036"/>
                  </w:txbxContent>
                </v:textbox>
              </v:shape>
            </w:pict>
          </mc:Fallback>
        </mc:AlternateContent>
      </w:r>
    </w:p>
    <w:p w14:paraId="46C82695">
      <w:pPr>
        <w:numPr>
          <w:ilvl w:val="0"/>
          <w:numId w:val="2"/>
        </w:numPr>
        <w:ind w:left="0" w:leftChars="0" w:firstLine="0" w:firstLineChars="0"/>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产品简介</w:t>
      </w:r>
    </w:p>
    <w:p w14:paraId="292B44EF">
      <w:pPr>
        <w:keepNext w:val="0"/>
        <w:keepLines w:val="0"/>
        <w:pageBreakBefore w:val="0"/>
        <w:widowControl w:val="0"/>
        <w:numPr>
          <w:ilvl w:val="0"/>
          <w:numId w:val="0"/>
        </w:numPr>
        <w:kinsoku/>
        <w:wordWrap/>
        <w:overflowPunct/>
        <w:topLinePunct w:val="0"/>
        <w:autoSpaceDE/>
        <w:autoSpaceDN/>
        <w:bidi w:val="0"/>
        <w:adjustRightInd/>
        <w:snapToGrid/>
        <w:ind w:firstLine="321" w:firstLineChars="10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1.1产品概述</w:t>
      </w:r>
    </w:p>
    <w:p w14:paraId="21D03D74">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01"/>
        </w:tabs>
        <w:kinsoku/>
        <w:wordWrap/>
        <w:overflowPunct/>
        <w:topLinePunct w:val="0"/>
        <w:autoSpaceDE/>
        <w:autoSpaceDN/>
        <w:bidi w:val="0"/>
        <w:adjustRightInd/>
        <w:snapToGrid/>
        <w:spacing w:before="0" w:beforeAutospacing="0" w:after="0" w:afterAutospacing="0"/>
        <w:ind w:left="0" w:leftChars="0" w:right="0" w:rightChars="0" w:firstLine="480" w:firstLineChars="200"/>
        <w:jc w:val="left"/>
        <w:textAlignment w:val="auto"/>
        <w:rPr>
          <w:rFonts w:ascii="宋体" w:hAnsi="宋体" w:eastAsia="宋体" w:cs="宋体"/>
          <w:b w:val="0"/>
          <w:bCs w:val="0"/>
          <w:color w:val="000000"/>
          <w:sz w:val="24"/>
          <w:szCs w:val="24"/>
        </w:rPr>
      </w:pPr>
      <w:r>
        <w:rPr>
          <w:rFonts w:hint="eastAsia" w:ascii="宋体" w:hAnsi="宋体" w:cs="宋体"/>
          <w:kern w:val="2"/>
          <w:sz w:val="24"/>
          <w:szCs w:val="24"/>
          <w:lang w:val="en-US" w:eastAsia="zh-CN" w:bidi="ar-SA"/>
        </w:rPr>
        <w:t>JCSB-CLX型号超声波测流箱是我公司自主研发的一款高性能实用型产品，</w:t>
      </w:r>
      <w:r>
        <w:rPr>
          <w:rFonts w:ascii="宋体" w:hAnsi="宋体" w:eastAsia="宋体" w:cs="宋体"/>
          <w:b w:val="0"/>
          <w:bCs w:val="0"/>
          <w:color w:val="000000"/>
          <w:sz w:val="24"/>
          <w:szCs w:val="24"/>
        </w:rPr>
        <w:t>采用高性能工业级通信处理器，提供瞬时多层流速、多维度水位、瞬时流量、 累计流量、环境温度的采集，可满足各种不同水文/水资源及其它应用需求。 产品规格丰富，可根据现场实际需求进行定制，预留 RS485 接口，结合</w:t>
      </w:r>
      <w:r>
        <w:rPr>
          <w:rFonts w:hint="eastAsia" w:ascii="宋体" w:hAnsi="宋体" w:cs="宋体"/>
          <w:b w:val="0"/>
          <w:bCs w:val="0"/>
          <w:color w:val="000000"/>
          <w:sz w:val="24"/>
          <w:szCs w:val="24"/>
          <w:lang w:val="en-US" w:eastAsia="zh-CN"/>
        </w:rPr>
        <w:t>精讯</w:t>
      </w:r>
      <w:r>
        <w:rPr>
          <w:rFonts w:ascii="宋体" w:hAnsi="宋体" w:eastAsia="宋体" w:cs="宋体"/>
          <w:b w:val="0"/>
          <w:bCs w:val="0"/>
          <w:color w:val="000000"/>
          <w:sz w:val="24"/>
          <w:szCs w:val="24"/>
        </w:rPr>
        <w:t>成熟的 RTU 采集通信技术，广泛适用于河道闸口、灌区、人工渠道、排放渠</w:t>
      </w:r>
      <w:r>
        <w:rPr>
          <w:rFonts w:hint="eastAsia" w:ascii="宋体" w:hAnsi="宋体" w:eastAsia="宋体" w:cs="宋体"/>
          <w:b w:val="0"/>
          <w:bCs w:val="0"/>
          <w:color w:val="000000"/>
          <w:sz w:val="24"/>
          <w:szCs w:val="24"/>
          <w:lang w:eastAsia="zh-CN"/>
        </w:rPr>
        <w:t>、</w:t>
      </w:r>
      <w:r>
        <w:rPr>
          <w:rFonts w:ascii="宋体" w:hAnsi="宋体" w:eastAsia="宋体" w:cs="宋体"/>
          <w:b w:val="0"/>
          <w:bCs w:val="0"/>
          <w:color w:val="000000"/>
          <w:sz w:val="24"/>
          <w:szCs w:val="24"/>
        </w:rPr>
        <w:t>污水治理流入和排放渠、工矿企业化工液体、废水排放渠道、水利工程和农业灌溉用渠道、泄洪闸门等应用场景的流速测量、流量计算。</w:t>
      </w:r>
    </w:p>
    <w:p w14:paraId="30FB7AD1">
      <w:pPr>
        <w:keepNext w:val="0"/>
        <w:keepLines w:val="0"/>
        <w:pageBreakBefore w:val="0"/>
        <w:widowControl w:val="0"/>
        <w:numPr>
          <w:ilvl w:val="0"/>
          <w:numId w:val="0"/>
        </w:numPr>
        <w:kinsoku/>
        <w:wordWrap/>
        <w:overflowPunct/>
        <w:topLinePunct w:val="0"/>
        <w:autoSpaceDE/>
        <w:autoSpaceDN/>
        <w:bidi w:val="0"/>
        <w:adjustRightInd/>
        <w:snapToGrid/>
        <w:ind w:firstLine="321" w:firstLineChars="10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1.2工作原理</w:t>
      </w:r>
    </w:p>
    <w:p w14:paraId="01B9F1A1">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01"/>
        </w:tabs>
        <w:kinsoku/>
        <w:wordWrap/>
        <w:overflowPunct/>
        <w:topLinePunct w:val="0"/>
        <w:autoSpaceDE/>
        <w:autoSpaceDN/>
        <w:bidi w:val="0"/>
        <w:adjustRightInd/>
        <w:snapToGrid/>
        <w:spacing w:before="0" w:beforeAutospacing="0" w:after="0" w:afterAutospacing="0"/>
        <w:ind w:left="0" w:leftChars="0" w:right="0" w:rightChars="0" w:firstLine="480" w:firstLineChars="200"/>
        <w:jc w:val="left"/>
        <w:textAlignment w:val="auto"/>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超声波测流箱，流量计量部分采用流速面积法原理，流速测量部分采用超声波时差法原理，通过测量超声波在流体中顺流和逆流传播的时间差来计算流体的流速，进而得出流量。具体而言，测流箱内的超声波传感器发射超声波脉冲，这些脉冲在流体中传播时会受到流体流速的影响，顺流时传播速度加快，逆流时传播速度减慢。通过测量超声波顺流和逆流传播的时间差，结合已知的声速和流体性质，可以计算出流体的流速。过流面积通过电子水尺+探头的三水位法测量水深，然后根据测箱的内部宽度参数来进行计算。再根据流速和渠道的</w:t>
      </w:r>
      <w:bookmarkStart w:id="0" w:name="OLE_LINK2"/>
      <w:r>
        <w:rPr>
          <w:rFonts w:hint="eastAsia" w:ascii="宋体" w:hAnsi="宋体" w:cs="宋体"/>
          <w:kern w:val="2"/>
          <w:sz w:val="24"/>
          <w:szCs w:val="24"/>
          <w:lang w:val="en-US" w:eastAsia="zh-CN" w:bidi="ar-SA"/>
        </w:rPr>
        <w:t>过流面积</w:t>
      </w:r>
      <w:bookmarkEnd w:id="0"/>
      <w:r>
        <w:rPr>
          <w:rFonts w:hint="eastAsia" w:ascii="宋体" w:hAnsi="宋体" w:cs="宋体"/>
          <w:kern w:val="2"/>
          <w:sz w:val="24"/>
          <w:szCs w:val="24"/>
          <w:lang w:val="en-US" w:eastAsia="zh-CN" w:bidi="ar-SA"/>
        </w:rPr>
        <w:t>，即可得出实时流量。这种测量方式具有非接触、高精度、实时性强等优点，适用于各种明渠流量的测量。</w:t>
      </w:r>
    </w:p>
    <w:p w14:paraId="590F6764">
      <w:pPr>
        <w:keepNext w:val="0"/>
        <w:keepLines w:val="0"/>
        <w:pageBreakBefore w:val="0"/>
        <w:widowControl w:val="0"/>
        <w:numPr>
          <w:ilvl w:val="0"/>
          <w:numId w:val="0"/>
        </w:numPr>
        <w:kinsoku/>
        <w:wordWrap/>
        <w:overflowPunct/>
        <w:topLinePunct w:val="0"/>
        <w:autoSpaceDE/>
        <w:autoSpaceDN/>
        <w:bidi w:val="0"/>
        <w:adjustRightInd/>
        <w:snapToGrid/>
        <w:ind w:firstLine="321" w:firstLineChars="10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1.3产品特点</w:t>
      </w:r>
    </w:p>
    <w:p w14:paraId="3A182D8B">
      <w:pPr>
        <w:keepNext w:val="0"/>
        <w:keepLines w:val="0"/>
        <w:pageBreakBefore w:val="0"/>
        <w:widowControl w:val="0"/>
        <w:numPr>
          <w:ilvl w:val="0"/>
          <w:numId w:val="3"/>
        </w:numPr>
        <w:kinsoku/>
        <w:wordWrap/>
        <w:overflowPunct/>
        <w:topLinePunct w:val="0"/>
        <w:autoSpaceDE/>
        <w:autoSpaceDN/>
        <w:bidi w:val="0"/>
        <w:adjustRightInd/>
        <w:snapToGrid/>
        <w:ind w:left="900" w:leftChars="0" w:hanging="420" w:firstLineChars="0"/>
        <w:jc w:val="both"/>
        <w:textAlignment w:val="auto"/>
        <w:rPr>
          <w:rFonts w:hint="default" w:ascii="宋体" w:hAnsi="宋体" w:cs="宋体"/>
          <w:kern w:val="2"/>
          <w:sz w:val="24"/>
          <w:szCs w:val="24"/>
          <w:lang w:val="en-US" w:eastAsia="zh-CN" w:bidi="ar-SA"/>
        </w:rPr>
      </w:pPr>
      <w:r>
        <w:rPr>
          <w:rFonts w:hint="eastAsia" w:ascii="宋体" w:hAnsi="宋体" w:cs="宋体"/>
          <w:kern w:val="2"/>
          <w:sz w:val="24"/>
          <w:szCs w:val="24"/>
          <w:lang w:val="en-US" w:eastAsia="zh-CN" w:bidi="ar-SA"/>
        </w:rPr>
        <w:t>采用高性能工业级处理器</w:t>
      </w:r>
    </w:p>
    <w:p w14:paraId="28790FD8">
      <w:pPr>
        <w:keepNext w:val="0"/>
        <w:keepLines w:val="0"/>
        <w:pageBreakBefore w:val="0"/>
        <w:widowControl w:val="0"/>
        <w:numPr>
          <w:ilvl w:val="0"/>
          <w:numId w:val="3"/>
        </w:numPr>
        <w:kinsoku/>
        <w:wordWrap/>
        <w:overflowPunct/>
        <w:topLinePunct w:val="0"/>
        <w:autoSpaceDE/>
        <w:autoSpaceDN/>
        <w:bidi w:val="0"/>
        <w:adjustRightInd/>
        <w:snapToGrid/>
        <w:ind w:left="900" w:leftChars="0" w:hanging="420" w:firstLineChars="0"/>
        <w:jc w:val="both"/>
        <w:textAlignment w:val="auto"/>
        <w:rPr>
          <w:rFonts w:hint="default" w:ascii="宋体" w:hAnsi="宋体" w:cs="宋体"/>
          <w:kern w:val="2"/>
          <w:sz w:val="24"/>
          <w:szCs w:val="24"/>
          <w:lang w:val="en-US" w:eastAsia="zh-CN" w:bidi="ar-SA"/>
        </w:rPr>
      </w:pPr>
      <w:r>
        <w:rPr>
          <w:rFonts w:hint="eastAsia" w:ascii="宋体" w:hAnsi="宋体" w:cs="宋体"/>
          <w:kern w:val="2"/>
          <w:sz w:val="24"/>
          <w:szCs w:val="24"/>
          <w:lang w:val="en-US" w:eastAsia="zh-CN" w:bidi="ar-SA"/>
        </w:rPr>
        <w:t>高防护一体化设计</w:t>
      </w:r>
    </w:p>
    <w:p w14:paraId="4B80F1E3">
      <w:pPr>
        <w:keepNext w:val="0"/>
        <w:keepLines w:val="0"/>
        <w:pageBreakBefore w:val="0"/>
        <w:widowControl w:val="0"/>
        <w:numPr>
          <w:ilvl w:val="0"/>
          <w:numId w:val="3"/>
        </w:numPr>
        <w:kinsoku/>
        <w:wordWrap/>
        <w:overflowPunct/>
        <w:topLinePunct w:val="0"/>
        <w:autoSpaceDE/>
        <w:autoSpaceDN/>
        <w:bidi w:val="0"/>
        <w:adjustRightInd/>
        <w:snapToGrid/>
        <w:ind w:left="900" w:leftChars="0" w:hanging="420" w:firstLineChars="0"/>
        <w:jc w:val="both"/>
        <w:textAlignment w:val="auto"/>
        <w:rPr>
          <w:rFonts w:hint="default" w:ascii="宋体" w:hAnsi="宋体" w:cs="宋体"/>
          <w:kern w:val="2"/>
          <w:sz w:val="24"/>
          <w:szCs w:val="24"/>
          <w:lang w:val="en-US" w:eastAsia="zh-CN" w:bidi="ar-SA"/>
        </w:rPr>
      </w:pPr>
      <w:r>
        <w:rPr>
          <w:rFonts w:hint="eastAsia" w:ascii="宋体" w:hAnsi="宋体" w:cs="宋体"/>
          <w:kern w:val="2"/>
          <w:sz w:val="24"/>
          <w:szCs w:val="24"/>
          <w:lang w:val="en-US" w:eastAsia="zh-CN" w:bidi="ar-SA"/>
        </w:rPr>
        <w:t>工业级设计适用于各种恶劣的现场</w:t>
      </w:r>
    </w:p>
    <w:p w14:paraId="3AE93234">
      <w:pPr>
        <w:keepNext w:val="0"/>
        <w:keepLines w:val="0"/>
        <w:pageBreakBefore w:val="0"/>
        <w:widowControl w:val="0"/>
        <w:numPr>
          <w:ilvl w:val="0"/>
          <w:numId w:val="3"/>
        </w:numPr>
        <w:kinsoku/>
        <w:wordWrap/>
        <w:overflowPunct/>
        <w:topLinePunct w:val="0"/>
        <w:autoSpaceDE/>
        <w:autoSpaceDN/>
        <w:bidi w:val="0"/>
        <w:adjustRightInd/>
        <w:snapToGrid/>
        <w:ind w:left="900" w:leftChars="0" w:hanging="420" w:firstLineChars="0"/>
        <w:jc w:val="both"/>
        <w:textAlignment w:val="auto"/>
        <w:rPr>
          <w:rFonts w:hint="default" w:ascii="宋体" w:hAnsi="宋体" w:cs="宋体"/>
          <w:kern w:val="2"/>
          <w:sz w:val="24"/>
          <w:szCs w:val="24"/>
          <w:lang w:val="en-US" w:eastAsia="zh-CN" w:bidi="ar-SA"/>
        </w:rPr>
      </w:pPr>
      <w:r>
        <w:rPr>
          <w:rFonts w:hint="eastAsia" w:ascii="宋体" w:hAnsi="宋体" w:cs="宋体"/>
          <w:kern w:val="2"/>
          <w:sz w:val="24"/>
          <w:szCs w:val="24"/>
          <w:lang w:val="en-US" w:eastAsia="zh-CN" w:bidi="ar-SA"/>
        </w:rPr>
        <w:t>主机与探头类型多样化</w:t>
      </w:r>
    </w:p>
    <w:p w14:paraId="15F60A21">
      <w:pPr>
        <w:keepNext w:val="0"/>
        <w:keepLines w:val="0"/>
        <w:pageBreakBefore w:val="0"/>
        <w:widowControl w:val="0"/>
        <w:numPr>
          <w:ilvl w:val="0"/>
          <w:numId w:val="3"/>
        </w:numPr>
        <w:kinsoku/>
        <w:wordWrap/>
        <w:overflowPunct/>
        <w:topLinePunct w:val="0"/>
        <w:autoSpaceDE/>
        <w:autoSpaceDN/>
        <w:bidi w:val="0"/>
        <w:adjustRightInd/>
        <w:snapToGrid/>
        <w:ind w:left="900" w:leftChars="0" w:hanging="420" w:firstLineChars="0"/>
        <w:jc w:val="both"/>
        <w:textAlignment w:val="auto"/>
        <w:rPr>
          <w:rFonts w:hint="default" w:ascii="宋体" w:hAnsi="宋体" w:cs="宋体"/>
          <w:kern w:val="2"/>
          <w:sz w:val="24"/>
          <w:szCs w:val="24"/>
          <w:lang w:val="en-US" w:eastAsia="zh-CN" w:bidi="ar-SA"/>
        </w:rPr>
      </w:pPr>
      <w:r>
        <w:rPr>
          <w:rFonts w:hint="eastAsia" w:ascii="宋体" w:hAnsi="宋体" w:cs="宋体"/>
          <w:kern w:val="2"/>
          <w:sz w:val="24"/>
          <w:szCs w:val="24"/>
          <w:lang w:val="en-US" w:eastAsia="zh-CN" w:bidi="ar-SA"/>
        </w:rPr>
        <w:t>多层次结构</w:t>
      </w:r>
    </w:p>
    <w:p w14:paraId="5C0C0FA0">
      <w:pPr>
        <w:keepNext w:val="0"/>
        <w:keepLines w:val="0"/>
        <w:pageBreakBefore w:val="0"/>
        <w:widowControl w:val="0"/>
        <w:numPr>
          <w:ilvl w:val="0"/>
          <w:numId w:val="3"/>
        </w:numPr>
        <w:kinsoku/>
        <w:wordWrap/>
        <w:overflowPunct/>
        <w:topLinePunct w:val="0"/>
        <w:autoSpaceDE/>
        <w:autoSpaceDN/>
        <w:bidi w:val="0"/>
        <w:adjustRightInd/>
        <w:snapToGrid/>
        <w:ind w:left="900" w:leftChars="0" w:hanging="420" w:firstLineChars="0"/>
        <w:jc w:val="both"/>
        <w:textAlignment w:val="auto"/>
        <w:rPr>
          <w:rFonts w:hint="default" w:ascii="宋体" w:hAnsi="宋体" w:cs="宋体"/>
          <w:kern w:val="2"/>
          <w:sz w:val="24"/>
          <w:szCs w:val="24"/>
          <w:lang w:val="en-US" w:eastAsia="zh-CN" w:bidi="ar-SA"/>
        </w:rPr>
      </w:pPr>
      <w:r>
        <w:rPr>
          <w:rFonts w:hint="eastAsia" w:ascii="宋体" w:hAnsi="宋体" w:cs="宋体"/>
          <w:kern w:val="2"/>
          <w:sz w:val="24"/>
          <w:szCs w:val="24"/>
          <w:lang w:val="en-US" w:eastAsia="zh-CN" w:bidi="ar-SA"/>
        </w:rPr>
        <w:t>计量精度高，稳定性好</w:t>
      </w:r>
    </w:p>
    <w:p w14:paraId="0BC3B0C4">
      <w:pPr>
        <w:keepNext w:val="0"/>
        <w:keepLines w:val="0"/>
        <w:pageBreakBefore w:val="0"/>
        <w:widowControl w:val="0"/>
        <w:numPr>
          <w:ilvl w:val="0"/>
          <w:numId w:val="3"/>
        </w:numPr>
        <w:kinsoku/>
        <w:wordWrap/>
        <w:overflowPunct/>
        <w:topLinePunct w:val="0"/>
        <w:autoSpaceDE/>
        <w:autoSpaceDN/>
        <w:bidi w:val="0"/>
        <w:adjustRightInd/>
        <w:snapToGrid/>
        <w:ind w:left="900" w:leftChars="0" w:hanging="420" w:firstLineChars="0"/>
        <w:jc w:val="both"/>
        <w:textAlignment w:val="auto"/>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 xml:space="preserve">高标准化工艺、无需现场校准 </w:t>
      </w:r>
    </w:p>
    <w:p w14:paraId="4C9C383E">
      <w:pPr>
        <w:keepNext w:val="0"/>
        <w:keepLines w:val="0"/>
        <w:pageBreakBefore w:val="0"/>
        <w:widowControl w:val="0"/>
        <w:numPr>
          <w:ilvl w:val="0"/>
          <w:numId w:val="3"/>
        </w:numPr>
        <w:kinsoku/>
        <w:wordWrap/>
        <w:overflowPunct/>
        <w:topLinePunct w:val="0"/>
        <w:autoSpaceDE/>
        <w:autoSpaceDN/>
        <w:bidi w:val="0"/>
        <w:adjustRightInd/>
        <w:snapToGrid/>
        <w:ind w:left="900" w:leftChars="0" w:hanging="420" w:firstLineChars="0"/>
        <w:jc w:val="both"/>
        <w:textAlignment w:val="auto"/>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支持市电、太阳能电源等输入方式</w:t>
      </w:r>
    </w:p>
    <w:p w14:paraId="0E9EA912">
      <w:pPr>
        <w:keepNext w:val="0"/>
        <w:keepLines w:val="0"/>
        <w:pageBreakBefore w:val="0"/>
        <w:widowControl w:val="0"/>
        <w:numPr>
          <w:ilvl w:val="0"/>
          <w:numId w:val="3"/>
        </w:numPr>
        <w:kinsoku/>
        <w:wordWrap/>
        <w:overflowPunct/>
        <w:topLinePunct w:val="0"/>
        <w:autoSpaceDE/>
        <w:autoSpaceDN/>
        <w:bidi w:val="0"/>
        <w:adjustRightInd/>
        <w:snapToGrid/>
        <w:ind w:left="900" w:leftChars="0" w:hanging="420" w:firstLineChars="0"/>
        <w:jc w:val="both"/>
        <w:textAlignment w:val="auto"/>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支持RS485通信，与远程数据管理系统集成更加方便</w:t>
      </w:r>
    </w:p>
    <w:p w14:paraId="41EB8255">
      <w:pPr>
        <w:numPr>
          <w:ilvl w:val="0"/>
          <w:numId w:val="0"/>
        </w:numPr>
        <w:ind w:leftChars="0"/>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第二章 产品参数</w:t>
      </w:r>
    </w:p>
    <w:p w14:paraId="5A91C4AF">
      <w:pPr>
        <w:keepNext w:val="0"/>
        <w:keepLines w:val="0"/>
        <w:pageBreakBefore w:val="0"/>
        <w:widowControl w:val="0"/>
        <w:numPr>
          <w:ilvl w:val="0"/>
          <w:numId w:val="0"/>
        </w:numPr>
        <w:kinsoku/>
        <w:wordWrap/>
        <w:overflowPunct/>
        <w:topLinePunct w:val="0"/>
        <w:autoSpaceDE/>
        <w:autoSpaceDN/>
        <w:bidi w:val="0"/>
        <w:adjustRightInd/>
        <w:snapToGrid/>
        <w:ind w:firstLine="321" w:firstLineChars="10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2.1 技术指标</w:t>
      </w:r>
    </w:p>
    <w:tbl>
      <w:tblPr>
        <w:tblStyle w:val="9"/>
        <w:tblW w:w="0" w:type="auto"/>
        <w:tblInd w:w="17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7"/>
        <w:gridCol w:w="4911"/>
      </w:tblGrid>
      <w:tr w14:paraId="26DE3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17" w:type="dxa"/>
          </w:tcPr>
          <w:p w14:paraId="05A3930A">
            <w:pPr>
              <w:bidi w:val="0"/>
              <w:rPr>
                <w:rFonts w:hint="eastAsia" w:ascii="宋体" w:hAnsi="宋体" w:eastAsia="宋体" w:cs="宋体"/>
                <w:b/>
                <w:bCs/>
                <w:lang w:val="en-US" w:eastAsia="zh-CN"/>
              </w:rPr>
            </w:pPr>
            <w:r>
              <w:rPr>
                <w:rFonts w:hint="eastAsia" w:ascii="宋体" w:hAnsi="宋体" w:eastAsia="宋体" w:cs="宋体"/>
                <w:b/>
                <w:bCs/>
                <w:lang w:val="en-US" w:eastAsia="zh-CN"/>
              </w:rPr>
              <w:t>名称</w:t>
            </w:r>
          </w:p>
        </w:tc>
        <w:tc>
          <w:tcPr>
            <w:tcW w:w="4911" w:type="dxa"/>
          </w:tcPr>
          <w:p w14:paraId="2CD196EB">
            <w:pPr>
              <w:bidi w:val="0"/>
              <w:rPr>
                <w:rFonts w:hint="eastAsia" w:ascii="宋体" w:hAnsi="宋体" w:eastAsia="宋体" w:cs="宋体"/>
                <w:b/>
                <w:bCs/>
                <w:lang w:val="en-US" w:eastAsia="zh-CN"/>
              </w:rPr>
            </w:pPr>
            <w:r>
              <w:rPr>
                <w:rFonts w:hint="eastAsia" w:ascii="宋体" w:hAnsi="宋体" w:eastAsia="宋体" w:cs="宋体"/>
                <w:b/>
                <w:bCs/>
                <w:lang w:val="en-US" w:eastAsia="zh-CN"/>
              </w:rPr>
              <w:t>参数</w:t>
            </w:r>
          </w:p>
        </w:tc>
      </w:tr>
      <w:tr w14:paraId="4EE16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vAlign w:val="top"/>
          </w:tcPr>
          <w:p w14:paraId="684062CB">
            <w:pPr>
              <w:bidi w:val="0"/>
              <w:rPr>
                <w:rFonts w:hint="eastAsia" w:ascii="宋体" w:hAnsi="宋体" w:eastAsia="宋体" w:cs="宋体"/>
                <w:lang w:val="en-US" w:eastAsia="zh-CN"/>
              </w:rPr>
            </w:pPr>
            <w:r>
              <w:rPr>
                <w:rFonts w:hint="eastAsia" w:ascii="宋体" w:hAnsi="宋体" w:eastAsia="宋体" w:cs="宋体"/>
                <w:lang w:val="en-US" w:eastAsia="zh-CN"/>
              </w:rPr>
              <w:t>流速测量原理</w:t>
            </w:r>
          </w:p>
        </w:tc>
        <w:tc>
          <w:tcPr>
            <w:tcW w:w="4911" w:type="dxa"/>
            <w:vAlign w:val="top"/>
          </w:tcPr>
          <w:p w14:paraId="2BDF8126">
            <w:pPr>
              <w:bidi w:val="0"/>
              <w:rPr>
                <w:rFonts w:hint="eastAsia" w:ascii="宋体" w:hAnsi="宋体" w:eastAsia="宋体" w:cs="宋体"/>
                <w:lang w:val="en-US" w:eastAsia="zh-CN"/>
              </w:rPr>
            </w:pPr>
            <w:r>
              <w:rPr>
                <w:rFonts w:hint="eastAsia" w:ascii="宋体" w:hAnsi="宋体" w:eastAsia="宋体" w:cs="宋体"/>
                <w:lang w:val="en-US" w:eastAsia="zh-CN"/>
              </w:rPr>
              <w:t>超声波时差法</w:t>
            </w:r>
          </w:p>
        </w:tc>
      </w:tr>
      <w:tr w14:paraId="0332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3E4D9522">
            <w:pPr>
              <w:bidi w:val="0"/>
              <w:rPr>
                <w:rFonts w:hint="eastAsia" w:ascii="宋体" w:hAnsi="宋体" w:eastAsia="宋体" w:cs="宋体"/>
                <w:lang w:val="en-US" w:eastAsia="zh-CN"/>
              </w:rPr>
            </w:pPr>
            <w:r>
              <w:rPr>
                <w:rFonts w:hint="eastAsia" w:ascii="宋体" w:hAnsi="宋体" w:eastAsia="宋体" w:cs="宋体"/>
                <w:lang w:val="en-US" w:eastAsia="zh-CN"/>
              </w:rPr>
              <w:t>转化能对数</w:t>
            </w:r>
          </w:p>
        </w:tc>
        <w:tc>
          <w:tcPr>
            <w:tcW w:w="4911" w:type="dxa"/>
          </w:tcPr>
          <w:p w14:paraId="48409066">
            <w:pPr>
              <w:bidi w:val="0"/>
              <w:rPr>
                <w:rFonts w:hint="eastAsia" w:ascii="宋体" w:hAnsi="宋体" w:eastAsia="宋体" w:cs="宋体"/>
                <w:lang w:eastAsia="zh-CN"/>
              </w:rPr>
            </w:pPr>
            <w:r>
              <w:rPr>
                <w:rFonts w:hint="eastAsia" w:ascii="宋体" w:hAnsi="宋体" w:eastAsia="宋体" w:cs="宋体"/>
                <w:lang w:val="en-US" w:eastAsia="zh-CN"/>
              </w:rPr>
              <w:t>4对/8对/12对/16对</w:t>
            </w:r>
            <w:r>
              <w:rPr>
                <w:rFonts w:hint="eastAsia" w:ascii="宋体" w:hAnsi="宋体" w:eastAsia="宋体" w:cs="宋体"/>
                <w:lang w:eastAsia="zh-CN"/>
              </w:rPr>
              <w:t>（根据规格而定）</w:t>
            </w:r>
          </w:p>
        </w:tc>
      </w:tr>
      <w:tr w14:paraId="77C7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15EB2BD5">
            <w:pPr>
              <w:bidi w:val="0"/>
              <w:rPr>
                <w:rFonts w:hint="eastAsia" w:ascii="宋体" w:hAnsi="宋体" w:eastAsia="宋体" w:cs="宋体"/>
                <w:lang w:val="en-US" w:eastAsia="zh-CN"/>
              </w:rPr>
            </w:pPr>
            <w:r>
              <w:rPr>
                <w:rFonts w:hint="eastAsia" w:ascii="宋体" w:hAnsi="宋体" w:eastAsia="宋体" w:cs="宋体"/>
                <w:lang w:val="en-US" w:eastAsia="zh-CN"/>
              </w:rPr>
              <w:t>计量精度</w:t>
            </w:r>
          </w:p>
        </w:tc>
        <w:tc>
          <w:tcPr>
            <w:tcW w:w="4911" w:type="dxa"/>
          </w:tcPr>
          <w:p w14:paraId="3C52842A">
            <w:pPr>
              <w:bidi w:val="0"/>
              <w:rPr>
                <w:rFonts w:hint="eastAsia" w:ascii="宋体" w:hAnsi="宋体" w:eastAsia="宋体" w:cs="宋体"/>
                <w:lang w:val="en-US" w:eastAsia="zh-CN"/>
              </w:rPr>
            </w:pPr>
            <w:r>
              <w:rPr>
                <w:rFonts w:hint="eastAsia" w:ascii="宋体" w:hAnsi="宋体" w:eastAsia="宋体" w:cs="宋体"/>
                <w:lang w:val="en-US" w:eastAsia="zh-CN"/>
              </w:rPr>
              <w:t>±2%</w:t>
            </w:r>
          </w:p>
        </w:tc>
      </w:tr>
      <w:tr w14:paraId="377D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591089FE">
            <w:pPr>
              <w:tabs>
                <w:tab w:val="center" w:pos="800"/>
              </w:tabs>
              <w:bidi w:val="0"/>
              <w:rPr>
                <w:rFonts w:hint="eastAsia" w:ascii="宋体" w:hAnsi="宋体" w:eastAsia="宋体" w:cs="宋体"/>
                <w:lang w:val="en-US" w:eastAsia="zh-CN"/>
              </w:rPr>
            </w:pPr>
            <w:r>
              <w:rPr>
                <w:rFonts w:hint="eastAsia" w:ascii="宋体" w:hAnsi="宋体" w:eastAsia="宋体" w:cs="宋体"/>
                <w:lang w:val="en-US" w:eastAsia="zh-CN"/>
              </w:rPr>
              <w:t>流速范围</w:t>
            </w:r>
          </w:p>
        </w:tc>
        <w:tc>
          <w:tcPr>
            <w:tcW w:w="4911" w:type="dxa"/>
          </w:tcPr>
          <w:p w14:paraId="2288DE15">
            <w:pPr>
              <w:bidi w:val="0"/>
              <w:rPr>
                <w:rFonts w:hint="eastAsia" w:ascii="宋体" w:hAnsi="宋体" w:eastAsia="宋体" w:cs="宋体"/>
                <w:lang w:val="en-US" w:eastAsia="zh-CN"/>
              </w:rPr>
            </w:pPr>
            <w:r>
              <w:rPr>
                <w:rFonts w:hint="eastAsia" w:ascii="宋体" w:hAnsi="宋体" w:eastAsia="宋体" w:cs="宋体"/>
                <w:lang w:val="en-US" w:eastAsia="zh-CN"/>
              </w:rPr>
              <w:t>0.05-3m/s</w:t>
            </w:r>
          </w:p>
        </w:tc>
      </w:tr>
      <w:tr w14:paraId="426B5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4BD880E2">
            <w:pPr>
              <w:bidi w:val="0"/>
              <w:rPr>
                <w:rFonts w:hint="eastAsia" w:ascii="宋体" w:hAnsi="宋体" w:eastAsia="宋体" w:cs="宋体"/>
                <w:lang w:val="en-US" w:eastAsia="zh-CN"/>
              </w:rPr>
            </w:pPr>
            <w:r>
              <w:rPr>
                <w:rFonts w:hint="eastAsia" w:ascii="宋体" w:hAnsi="宋体" w:eastAsia="宋体" w:cs="宋体"/>
                <w:lang w:val="en-US" w:eastAsia="zh-CN"/>
              </w:rPr>
              <w:t>采集频率</w:t>
            </w:r>
          </w:p>
        </w:tc>
        <w:tc>
          <w:tcPr>
            <w:tcW w:w="4911" w:type="dxa"/>
          </w:tcPr>
          <w:p w14:paraId="5491A4CB">
            <w:pPr>
              <w:bidi w:val="0"/>
              <w:rPr>
                <w:rFonts w:hint="eastAsia" w:ascii="宋体" w:hAnsi="宋体" w:eastAsia="宋体" w:cs="宋体"/>
                <w:lang w:val="en-US" w:eastAsia="zh-CN"/>
              </w:rPr>
            </w:pPr>
            <w:r>
              <w:rPr>
                <w:rFonts w:hint="eastAsia" w:ascii="宋体" w:hAnsi="宋体" w:eastAsia="宋体" w:cs="宋体"/>
                <w:lang w:val="en-US" w:eastAsia="zh-CN"/>
              </w:rPr>
              <w:t>8Hz</w:t>
            </w:r>
          </w:p>
        </w:tc>
      </w:tr>
      <w:tr w14:paraId="0ABF1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4BEA6405">
            <w:pPr>
              <w:bidi w:val="0"/>
              <w:rPr>
                <w:rFonts w:hint="eastAsia" w:ascii="宋体" w:hAnsi="宋体" w:eastAsia="宋体" w:cs="宋体"/>
                <w:lang w:val="en-US" w:eastAsia="zh-CN"/>
              </w:rPr>
            </w:pPr>
            <w:r>
              <w:rPr>
                <w:rFonts w:hint="eastAsia" w:ascii="宋体" w:hAnsi="宋体" w:eastAsia="宋体" w:cs="宋体"/>
                <w:lang w:val="en-US" w:eastAsia="zh-CN"/>
              </w:rPr>
              <w:t>液位测量</w:t>
            </w:r>
          </w:p>
        </w:tc>
        <w:tc>
          <w:tcPr>
            <w:tcW w:w="4911" w:type="dxa"/>
          </w:tcPr>
          <w:p w14:paraId="079F6DE6">
            <w:pPr>
              <w:bidi w:val="0"/>
              <w:rPr>
                <w:rFonts w:hint="eastAsia" w:ascii="宋体" w:hAnsi="宋体" w:eastAsia="宋体" w:cs="宋体"/>
                <w:lang w:val="en-US" w:eastAsia="zh-CN"/>
              </w:rPr>
            </w:pPr>
            <w:r>
              <w:rPr>
                <w:rFonts w:hint="eastAsia" w:ascii="宋体" w:hAnsi="宋体" w:eastAsia="宋体" w:cs="宋体"/>
                <w:lang w:val="en-US" w:eastAsia="zh-CN"/>
              </w:rPr>
              <w:t>电子水尺或超声波液位计</w:t>
            </w:r>
          </w:p>
        </w:tc>
      </w:tr>
      <w:tr w14:paraId="16FAD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50E9E94E">
            <w:pPr>
              <w:bidi w:val="0"/>
              <w:rPr>
                <w:rFonts w:hint="eastAsia" w:ascii="宋体" w:hAnsi="宋体" w:eastAsia="宋体" w:cs="宋体"/>
                <w:lang w:eastAsia="zh-CN"/>
              </w:rPr>
            </w:pPr>
            <w:r>
              <w:rPr>
                <w:rFonts w:hint="eastAsia" w:ascii="宋体" w:hAnsi="宋体" w:eastAsia="宋体" w:cs="宋体"/>
                <w:lang w:eastAsia="zh-CN"/>
              </w:rPr>
              <w:t>液位范围</w:t>
            </w:r>
          </w:p>
        </w:tc>
        <w:tc>
          <w:tcPr>
            <w:tcW w:w="4911" w:type="dxa"/>
          </w:tcPr>
          <w:p w14:paraId="186E498A">
            <w:pPr>
              <w:bidi w:val="0"/>
              <w:rPr>
                <w:rFonts w:hint="eastAsia" w:ascii="宋体" w:hAnsi="宋体" w:eastAsia="宋体" w:cs="宋体"/>
                <w:lang w:eastAsia="zh-CN"/>
              </w:rPr>
            </w:pPr>
            <w:r>
              <w:rPr>
                <w:rFonts w:hint="eastAsia" w:ascii="宋体" w:hAnsi="宋体" w:eastAsia="宋体" w:cs="宋体"/>
                <w:lang w:eastAsia="zh-CN"/>
              </w:rPr>
              <w:t>0.01m-</w:t>
            </w:r>
            <w:r>
              <w:rPr>
                <w:rFonts w:hint="eastAsia" w:ascii="宋体" w:hAnsi="宋体" w:eastAsia="宋体" w:cs="宋体"/>
                <w:lang w:val="en-US" w:eastAsia="zh-CN"/>
              </w:rPr>
              <w:t>5</w:t>
            </w:r>
            <w:r>
              <w:rPr>
                <w:rFonts w:hint="eastAsia" w:ascii="宋体" w:hAnsi="宋体" w:eastAsia="宋体" w:cs="宋体"/>
                <w:lang w:eastAsia="zh-CN"/>
              </w:rPr>
              <w:t>m</w:t>
            </w:r>
          </w:p>
        </w:tc>
      </w:tr>
      <w:tr w14:paraId="72AFC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0528CA68">
            <w:pPr>
              <w:bidi w:val="0"/>
              <w:rPr>
                <w:rFonts w:hint="eastAsia" w:ascii="宋体" w:hAnsi="宋体" w:eastAsia="宋体" w:cs="宋体"/>
                <w:lang w:eastAsia="zh-CN"/>
              </w:rPr>
            </w:pPr>
            <w:r>
              <w:rPr>
                <w:rFonts w:hint="eastAsia" w:ascii="宋体" w:hAnsi="宋体" w:eastAsia="宋体" w:cs="宋体"/>
                <w:lang w:eastAsia="zh-CN"/>
              </w:rPr>
              <w:t>液位精度</w:t>
            </w:r>
          </w:p>
        </w:tc>
        <w:tc>
          <w:tcPr>
            <w:tcW w:w="4911" w:type="dxa"/>
          </w:tcPr>
          <w:p w14:paraId="5BEC333B">
            <w:pPr>
              <w:bidi w:val="0"/>
              <w:rPr>
                <w:rFonts w:hint="eastAsia" w:ascii="宋体" w:hAnsi="宋体" w:eastAsia="宋体" w:cs="宋体"/>
                <w:lang w:eastAsia="zh-CN"/>
              </w:rPr>
            </w:pPr>
            <w:r>
              <w:rPr>
                <w:rFonts w:hint="eastAsia" w:ascii="宋体" w:hAnsi="宋体" w:eastAsia="宋体" w:cs="宋体"/>
                <w:lang w:eastAsia="zh-CN"/>
              </w:rPr>
              <w:t>1.0%</w:t>
            </w:r>
          </w:p>
        </w:tc>
      </w:tr>
      <w:tr w14:paraId="0BAA5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5736838E">
            <w:pPr>
              <w:bidi w:val="0"/>
              <w:rPr>
                <w:rFonts w:hint="eastAsia" w:ascii="宋体" w:hAnsi="宋体" w:eastAsia="宋体" w:cs="宋体"/>
                <w:lang w:val="en-US" w:eastAsia="zh-CN"/>
              </w:rPr>
            </w:pPr>
            <w:r>
              <w:rPr>
                <w:rFonts w:hint="eastAsia" w:ascii="宋体" w:hAnsi="宋体" w:eastAsia="宋体" w:cs="宋体"/>
                <w:lang w:val="en-US" w:eastAsia="zh-CN"/>
              </w:rPr>
              <w:t>供电方式</w:t>
            </w:r>
          </w:p>
        </w:tc>
        <w:tc>
          <w:tcPr>
            <w:tcW w:w="4911" w:type="dxa"/>
          </w:tcPr>
          <w:p w14:paraId="2B485BF1">
            <w:pPr>
              <w:bidi w:val="0"/>
              <w:rPr>
                <w:rFonts w:hint="eastAsia" w:ascii="宋体" w:hAnsi="宋体" w:eastAsia="宋体" w:cs="宋体"/>
                <w:lang w:val="en-US" w:eastAsia="zh-CN"/>
              </w:rPr>
            </w:pPr>
            <w:r>
              <w:rPr>
                <w:rFonts w:hint="eastAsia" w:ascii="宋体" w:hAnsi="宋体" w:eastAsia="宋体" w:cs="宋体"/>
                <w:lang w:val="en-US" w:eastAsia="zh-CN"/>
              </w:rPr>
              <w:t>太阳能板/</w:t>
            </w:r>
            <w:r>
              <w:rPr>
                <w:rFonts w:hint="eastAsia" w:ascii="宋体" w:hAnsi="宋体" w:eastAsia="宋体" w:cs="宋体"/>
                <w:lang w:eastAsia="zh-CN"/>
              </w:rPr>
              <w:t>12VDC</w:t>
            </w:r>
            <w:r>
              <w:rPr>
                <w:rFonts w:hint="eastAsia" w:ascii="宋体" w:hAnsi="宋体" w:eastAsia="宋体" w:cs="宋体"/>
                <w:lang w:val="en-US" w:eastAsia="zh-CN"/>
              </w:rPr>
              <w:t>市电（选配）</w:t>
            </w:r>
          </w:p>
        </w:tc>
      </w:tr>
      <w:tr w14:paraId="0EFD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56464F3A">
            <w:pPr>
              <w:bidi w:val="0"/>
              <w:rPr>
                <w:rFonts w:hint="eastAsia" w:ascii="宋体" w:hAnsi="宋体" w:eastAsia="宋体" w:cs="宋体"/>
                <w:lang w:val="en-US" w:eastAsia="zh-CN"/>
              </w:rPr>
            </w:pPr>
            <w:r>
              <w:rPr>
                <w:rFonts w:hint="eastAsia" w:ascii="宋体" w:hAnsi="宋体" w:eastAsia="宋体" w:cs="宋体"/>
                <w:lang w:val="en-US" w:eastAsia="zh-CN"/>
              </w:rPr>
              <w:t>通讯方式</w:t>
            </w:r>
          </w:p>
        </w:tc>
        <w:tc>
          <w:tcPr>
            <w:tcW w:w="4911" w:type="dxa"/>
          </w:tcPr>
          <w:p w14:paraId="5B2F7C51">
            <w:pPr>
              <w:bidi w:val="0"/>
              <w:rPr>
                <w:rFonts w:hint="eastAsia" w:ascii="宋体" w:hAnsi="宋体" w:eastAsia="宋体" w:cs="宋体"/>
                <w:lang w:val="en-US" w:eastAsia="zh-CN"/>
              </w:rPr>
            </w:pPr>
            <w:r>
              <w:rPr>
                <w:rFonts w:hint="eastAsia" w:ascii="宋体" w:hAnsi="宋体" w:eastAsia="宋体" w:cs="宋体"/>
                <w:lang w:val="en-US" w:eastAsia="zh-CN"/>
              </w:rPr>
              <w:t>RS485</w:t>
            </w:r>
          </w:p>
        </w:tc>
      </w:tr>
      <w:tr w14:paraId="3CB25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0E597FD1">
            <w:pPr>
              <w:bidi w:val="0"/>
              <w:rPr>
                <w:rFonts w:hint="eastAsia" w:ascii="宋体" w:hAnsi="宋体" w:eastAsia="宋体" w:cs="宋体"/>
                <w:lang w:eastAsia="zh-CN"/>
              </w:rPr>
            </w:pPr>
            <w:r>
              <w:rPr>
                <w:rFonts w:hint="eastAsia" w:ascii="宋体" w:hAnsi="宋体" w:eastAsia="宋体" w:cs="宋体"/>
                <w:lang w:eastAsia="zh-CN"/>
              </w:rPr>
              <w:t>环境温度</w:t>
            </w:r>
          </w:p>
        </w:tc>
        <w:tc>
          <w:tcPr>
            <w:tcW w:w="4911" w:type="dxa"/>
          </w:tcPr>
          <w:p w14:paraId="0C4AE37D">
            <w:pPr>
              <w:bidi w:val="0"/>
              <w:rPr>
                <w:rFonts w:hint="eastAsia" w:ascii="宋体" w:hAnsi="宋体" w:eastAsia="宋体" w:cs="宋体"/>
                <w:lang w:val="en-US" w:eastAsia="zh-CN"/>
              </w:rPr>
            </w:pPr>
            <w:r>
              <w:rPr>
                <w:rFonts w:hint="eastAsia" w:ascii="宋体" w:hAnsi="宋体" w:eastAsia="宋体" w:cs="宋体"/>
                <w:lang w:val="en-US" w:eastAsia="zh-CN"/>
              </w:rPr>
              <w:t>-20--70℃</w:t>
            </w:r>
          </w:p>
        </w:tc>
      </w:tr>
      <w:tr w14:paraId="0DDF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3CD6FD93">
            <w:pPr>
              <w:bidi w:val="0"/>
              <w:rPr>
                <w:rFonts w:hint="eastAsia" w:ascii="宋体" w:hAnsi="宋体" w:eastAsia="宋体" w:cs="宋体"/>
                <w:lang w:eastAsia="zh-CN"/>
              </w:rPr>
            </w:pPr>
            <w:r>
              <w:rPr>
                <w:rFonts w:hint="eastAsia" w:ascii="宋体" w:hAnsi="宋体" w:eastAsia="宋体" w:cs="宋体"/>
                <w:lang w:eastAsia="zh-CN"/>
              </w:rPr>
              <w:t>工作温度</w:t>
            </w:r>
          </w:p>
        </w:tc>
        <w:tc>
          <w:tcPr>
            <w:tcW w:w="4911" w:type="dxa"/>
          </w:tcPr>
          <w:p w14:paraId="59D42A1A">
            <w:pPr>
              <w:bidi w:val="0"/>
              <w:rPr>
                <w:rFonts w:hint="eastAsia" w:ascii="宋体" w:hAnsi="宋体" w:eastAsia="宋体" w:cs="宋体"/>
                <w:lang w:val="en-US" w:eastAsia="zh-CN"/>
              </w:rPr>
            </w:pPr>
            <w:r>
              <w:rPr>
                <w:rFonts w:hint="eastAsia" w:ascii="宋体" w:hAnsi="宋体" w:eastAsia="宋体" w:cs="宋体"/>
                <w:lang w:val="en-US" w:eastAsia="zh-CN"/>
              </w:rPr>
              <w:t>-20--70℃</w:t>
            </w:r>
          </w:p>
        </w:tc>
      </w:tr>
      <w:tr w14:paraId="7838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40E27C73">
            <w:pPr>
              <w:bidi w:val="0"/>
              <w:rPr>
                <w:rFonts w:hint="eastAsia" w:ascii="宋体" w:hAnsi="宋体" w:eastAsia="宋体" w:cs="宋体"/>
                <w:lang w:val="en-US" w:eastAsia="zh-CN"/>
              </w:rPr>
            </w:pPr>
            <w:r>
              <w:rPr>
                <w:rFonts w:hint="eastAsia" w:ascii="宋体" w:hAnsi="宋体" w:eastAsia="宋体" w:cs="宋体"/>
                <w:lang w:val="en-US" w:eastAsia="zh-CN"/>
              </w:rPr>
              <w:t>机械材质</w:t>
            </w:r>
          </w:p>
        </w:tc>
        <w:tc>
          <w:tcPr>
            <w:tcW w:w="4911" w:type="dxa"/>
          </w:tcPr>
          <w:p w14:paraId="6AD9AD05">
            <w:pPr>
              <w:bidi w:val="0"/>
              <w:rPr>
                <w:rFonts w:hint="eastAsia" w:ascii="宋体" w:hAnsi="宋体" w:eastAsia="宋体" w:cs="宋体"/>
                <w:lang w:val="en-US" w:eastAsia="zh-CN"/>
              </w:rPr>
            </w:pPr>
            <w:r>
              <w:rPr>
                <w:rFonts w:hint="eastAsia" w:ascii="宋体" w:hAnsi="宋体" w:eastAsia="宋体" w:cs="宋体"/>
                <w:lang w:val="en-US" w:eastAsia="zh-CN"/>
              </w:rPr>
              <w:t>不锈钢</w:t>
            </w:r>
          </w:p>
        </w:tc>
      </w:tr>
      <w:tr w14:paraId="2D2F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7" w:type="dxa"/>
          </w:tcPr>
          <w:p w14:paraId="5E8A568C">
            <w:pPr>
              <w:bidi w:val="0"/>
              <w:rPr>
                <w:rFonts w:hint="eastAsia" w:ascii="宋体" w:hAnsi="宋体" w:eastAsia="宋体" w:cs="宋体"/>
                <w:lang w:val="en-US" w:eastAsia="zh-CN"/>
              </w:rPr>
            </w:pPr>
            <w:r>
              <w:rPr>
                <w:rFonts w:hint="eastAsia" w:ascii="宋体" w:hAnsi="宋体" w:eastAsia="宋体" w:cs="宋体"/>
                <w:lang w:val="en-US" w:eastAsia="zh-CN"/>
              </w:rPr>
              <w:t>防护等级</w:t>
            </w:r>
          </w:p>
        </w:tc>
        <w:tc>
          <w:tcPr>
            <w:tcW w:w="4911" w:type="dxa"/>
          </w:tcPr>
          <w:p w14:paraId="10DEE7DB">
            <w:pPr>
              <w:tabs>
                <w:tab w:val="left" w:pos="917"/>
              </w:tabs>
              <w:bidi w:val="0"/>
              <w:rPr>
                <w:rFonts w:hint="eastAsia" w:ascii="宋体" w:hAnsi="宋体" w:eastAsia="宋体" w:cs="宋体"/>
                <w:lang w:val="en-US" w:eastAsia="zh-CN"/>
              </w:rPr>
            </w:pPr>
            <w:r>
              <w:rPr>
                <w:rFonts w:hint="eastAsia" w:ascii="宋体" w:hAnsi="宋体" w:eastAsia="宋体" w:cs="宋体"/>
                <w:lang w:val="en-US" w:eastAsia="zh-CN"/>
              </w:rPr>
              <w:t>IP68</w:t>
            </w:r>
          </w:p>
        </w:tc>
      </w:tr>
    </w:tbl>
    <w:p w14:paraId="283BEE89">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lang w:val="en-US" w:eastAsia="zh-CN"/>
        </w:rPr>
      </w:pPr>
      <w:r>
        <w:rPr>
          <w:rFonts w:hint="eastAsia" w:ascii="黑体" w:hAnsi="黑体" w:eastAsia="黑体" w:cs="黑体"/>
          <w:b/>
          <w:bCs/>
          <w:sz w:val="30"/>
          <w:szCs w:val="30"/>
          <w:lang w:val="en-US" w:eastAsia="zh-CN"/>
        </w:rPr>
        <w:t xml:space="preserve">                             </w:t>
      </w:r>
      <w:r>
        <w:rPr>
          <w:rFonts w:hint="eastAsia"/>
          <w:lang w:val="en-US" w:eastAsia="zh-CN"/>
        </w:rPr>
        <w:t xml:space="preserve"> </w:t>
      </w:r>
      <w:r>
        <w:rPr>
          <w:rFonts w:hint="eastAsia" w:ascii="宋体" w:hAnsi="宋体" w:eastAsia="宋体" w:cs="宋体"/>
          <w:lang w:val="en-US" w:eastAsia="zh-CN"/>
        </w:rPr>
        <w:t>表1</w:t>
      </w:r>
    </w:p>
    <w:p w14:paraId="33994FC4">
      <w:pPr>
        <w:keepNext w:val="0"/>
        <w:keepLines w:val="0"/>
        <w:pageBreakBefore w:val="0"/>
        <w:widowControl w:val="0"/>
        <w:numPr>
          <w:ilvl w:val="0"/>
          <w:numId w:val="0"/>
        </w:numPr>
        <w:kinsoku/>
        <w:wordWrap/>
        <w:overflowPunct/>
        <w:topLinePunct w:val="0"/>
        <w:autoSpaceDE/>
        <w:autoSpaceDN/>
        <w:bidi w:val="0"/>
        <w:adjustRightInd/>
        <w:snapToGrid/>
        <w:ind w:firstLine="321" w:firstLineChars="10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2.2 产品实物外观</w:t>
      </w:r>
    </w:p>
    <w:p w14:paraId="7919037C">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r>
        <w:drawing>
          <wp:inline distT="0" distB="0" distL="114300" distR="114300">
            <wp:extent cx="5270500" cy="5215890"/>
            <wp:effectExtent l="0" t="0" r="6350" b="381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6"/>
                    <a:stretch>
                      <a:fillRect/>
                    </a:stretch>
                  </pic:blipFill>
                  <pic:spPr>
                    <a:xfrm>
                      <a:off x="0" y="0"/>
                      <a:ext cx="5270500" cy="5215890"/>
                    </a:xfrm>
                    <a:prstGeom prst="rect">
                      <a:avLst/>
                    </a:prstGeom>
                    <a:noFill/>
                    <a:ln>
                      <a:noFill/>
                    </a:ln>
                  </pic:spPr>
                </pic:pic>
              </a:graphicData>
            </a:graphic>
          </wp:inline>
        </w:drawing>
      </w:r>
    </w:p>
    <w:p w14:paraId="307A376F">
      <w:pPr>
        <w:keepNext w:val="0"/>
        <w:keepLines w:val="0"/>
        <w:pageBreakBefore w:val="0"/>
        <w:widowControl w:val="0"/>
        <w:numPr>
          <w:ilvl w:val="0"/>
          <w:numId w:val="0"/>
        </w:numPr>
        <w:kinsoku/>
        <w:wordWrap/>
        <w:overflowPunct/>
        <w:topLinePunct w:val="0"/>
        <w:autoSpaceDE/>
        <w:autoSpaceDN/>
        <w:bidi w:val="0"/>
        <w:adjustRightInd/>
        <w:snapToGrid/>
        <w:ind w:firstLine="4080" w:firstLineChars="1700"/>
        <w:jc w:val="both"/>
        <w:textAlignment w:val="auto"/>
        <w:rPr>
          <w:rFonts w:hint="default" w:eastAsia="宋体"/>
          <w:lang w:val="en-US" w:eastAsia="zh-CN"/>
        </w:rPr>
      </w:pPr>
      <w:r>
        <w:rPr>
          <w:rFonts w:hint="eastAsia"/>
          <w:lang w:val="en-US" w:eastAsia="zh-CN"/>
        </w:rPr>
        <w:t>图1</w:t>
      </w:r>
    </w:p>
    <w:p w14:paraId="3495DBFA">
      <w:pPr>
        <w:keepNext w:val="0"/>
        <w:keepLines w:val="0"/>
        <w:pageBreakBefore w:val="0"/>
        <w:widowControl w:val="0"/>
        <w:numPr>
          <w:ilvl w:val="0"/>
          <w:numId w:val="0"/>
        </w:numPr>
        <w:kinsoku/>
        <w:wordWrap/>
        <w:overflowPunct/>
        <w:topLinePunct w:val="0"/>
        <w:autoSpaceDE/>
        <w:autoSpaceDN/>
        <w:bidi w:val="0"/>
        <w:adjustRightInd/>
        <w:snapToGrid/>
        <w:ind w:firstLine="321" w:firstLineChars="10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2.3 产品规格尺寸</w:t>
      </w:r>
    </w:p>
    <w:p w14:paraId="72558967">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r>
        <w:rPr>
          <w:sz w:val="24"/>
        </w:rPr>
        <mc:AlternateContent>
          <mc:Choice Requires="wps">
            <w:drawing>
              <wp:anchor distT="0" distB="0" distL="114300" distR="114300" simplePos="0" relativeHeight="251663360" behindDoc="0" locked="0" layoutInCell="1" allowOverlap="1">
                <wp:simplePos x="0" y="0"/>
                <wp:positionH relativeFrom="column">
                  <wp:posOffset>3008630</wp:posOffset>
                </wp:positionH>
                <wp:positionV relativeFrom="paragraph">
                  <wp:posOffset>725170</wp:posOffset>
                </wp:positionV>
                <wp:extent cx="352425" cy="9525"/>
                <wp:effectExtent l="0" t="43815" r="9525" b="60960"/>
                <wp:wrapNone/>
                <wp:docPr id="13" name="直接箭头连接符 13"/>
                <wp:cNvGraphicFramePr/>
                <a:graphic xmlns:a="http://schemas.openxmlformats.org/drawingml/2006/main">
                  <a:graphicData uri="http://schemas.microsoft.com/office/word/2010/wordprocessingShape">
                    <wps:wsp>
                      <wps:cNvCnPr/>
                      <wps:spPr>
                        <a:xfrm>
                          <a:off x="4151630" y="3866515"/>
                          <a:ext cx="352425" cy="9525"/>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236.9pt;margin-top:57.1pt;height:0.75pt;width:27.75pt;z-index:251663360;mso-width-relative:page;mso-height-relative:page;" filled="f" stroked="t" coordsize="21600,21600" o:gfxdata="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JbojvYAAAACwEAAA8AAAAA&#10;AAAAAQAgAAAAIgAAAGRycy9kb3ducmV2LnhtbFBLAQIUABQAAAAIAIdO4kC6B50GFAIAAO8DAAAO&#10;AAAAAAAAAAEAIAAAACcBAABkcnMvZTJvRG9jLnhtbFBLBQYAAAAABgAGAFkBAACtBQAAAAA=&#10;">
                <v:fill on="f" focussize="0,0"/>
                <v:stroke weight="1pt" color="#000000 [3213]"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351155</wp:posOffset>
                </wp:positionH>
                <wp:positionV relativeFrom="paragraph">
                  <wp:posOffset>772795</wp:posOffset>
                </wp:positionV>
                <wp:extent cx="352425" cy="0"/>
                <wp:effectExtent l="0" t="50800" r="9525" b="63500"/>
                <wp:wrapNone/>
                <wp:docPr id="6" name="直接箭头连接符 6"/>
                <wp:cNvGraphicFramePr/>
                <a:graphic xmlns:a="http://schemas.openxmlformats.org/drawingml/2006/main">
                  <a:graphicData uri="http://schemas.microsoft.com/office/word/2010/wordprocessingShape">
                    <wps:wsp>
                      <wps:cNvCnPr/>
                      <wps:spPr>
                        <a:xfrm>
                          <a:off x="1494155" y="3923665"/>
                          <a:ext cx="352425" cy="0"/>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27.65pt;margin-top:60.85pt;height:0pt;width:27.75pt;z-index:251662336;mso-width-relative:page;mso-height-relative:page;" filled="f" stroked="t" coordsize="21600,21600" o:gfxdata="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qNjt1AAAAAoBAAAPAAAAAAAAAAEA&#10;IAAAACIAAABkcnMvZG93bnJldi54bWxQSwECFAAUAAAACACHTuJA65BNcRMCAADqAwAADgAAAAAA&#10;AAABACAAAAAjAQAAZHJzL2Uyb0RvYy54bWxQSwUGAAAAAAYABgBZAQAAqAUAAAAA&#10;">
                <v:fill on="f" focussize="0,0"/>
                <v:stroke weight="1pt" color="#000000 [3213]" miterlimit="8" joinstyle="miter" endarrow="open"/>
                <v:imagedata o:title=""/>
                <o:lock v:ext="edit" aspectratio="f"/>
              </v:shape>
            </w:pict>
          </mc:Fallback>
        </mc:AlternateContent>
      </w:r>
      <w:r>
        <w:drawing>
          <wp:inline distT="0" distB="0" distL="114300" distR="114300">
            <wp:extent cx="5271770" cy="146050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rcRect t="7414" b="10997"/>
                    <a:stretch>
                      <a:fillRect/>
                    </a:stretch>
                  </pic:blipFill>
                  <pic:spPr>
                    <a:xfrm>
                      <a:off x="0" y="0"/>
                      <a:ext cx="5271770" cy="1460500"/>
                    </a:xfrm>
                    <a:prstGeom prst="rect">
                      <a:avLst/>
                    </a:prstGeom>
                    <a:noFill/>
                    <a:ln>
                      <a:noFill/>
                    </a:ln>
                  </pic:spPr>
                </pic:pic>
              </a:graphicData>
            </a:graphic>
          </wp:inline>
        </w:drawing>
      </w:r>
    </w:p>
    <w:p w14:paraId="3C8CE20B">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ascii="宋体" w:hAnsi="宋体" w:eastAsia="宋体" w:cs="宋体"/>
          <w:lang w:val="en-US" w:eastAsia="zh-CN"/>
        </w:rPr>
      </w:pPr>
      <w:r>
        <w:rPr>
          <w:rFonts w:hint="eastAsia"/>
          <w:lang w:val="en-US" w:eastAsia="zh-CN"/>
        </w:rPr>
        <w:t xml:space="preserve">              </w:t>
      </w:r>
      <w:r>
        <w:rPr>
          <w:rFonts w:hint="eastAsia" w:ascii="宋体" w:hAnsi="宋体" w:eastAsia="宋体" w:cs="宋体"/>
          <w:lang w:val="en-US" w:eastAsia="zh-CN"/>
        </w:rPr>
        <w:t xml:space="preserve"> 侧视图2                             俯视图3</w:t>
      </w:r>
    </w:p>
    <w:tbl>
      <w:tblPr>
        <w:tblStyle w:val="9"/>
        <w:tblpPr w:leftFromText="180" w:rightFromText="180" w:vertAnchor="text" w:horzAnchor="page" w:tblpXSpec="center" w:tblpY="201"/>
        <w:tblOverlap w:val="never"/>
        <w:tblW w:w="9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5"/>
        <w:gridCol w:w="1035"/>
        <w:gridCol w:w="480"/>
        <w:gridCol w:w="900"/>
        <w:gridCol w:w="795"/>
        <w:gridCol w:w="1665"/>
        <w:gridCol w:w="1605"/>
        <w:gridCol w:w="786"/>
        <w:gridCol w:w="894"/>
      </w:tblGrid>
      <w:tr w14:paraId="05F65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45" w:type="dxa"/>
          </w:tcPr>
          <w:p w14:paraId="344B7D94">
            <w:pPr>
              <w:keepNext w:val="0"/>
              <w:keepLines w:val="0"/>
              <w:pageBreakBefore w:val="0"/>
              <w:widowControl w:val="0"/>
              <w:numPr>
                <w:ilvl w:val="0"/>
                <w:numId w:val="0"/>
              </w:numPr>
              <w:tabs>
                <w:tab w:val="center" w:pos="1312"/>
              </w:tabs>
              <w:kinsoku/>
              <w:wordWrap/>
              <w:overflowPunct/>
              <w:topLinePunct w:val="0"/>
              <w:autoSpaceDE/>
              <w:autoSpaceDN/>
              <w:bidi w:val="0"/>
              <w:adjustRightInd/>
              <w:snapToGrid/>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产品型号</w:t>
            </w:r>
          </w:p>
        </w:tc>
        <w:tc>
          <w:tcPr>
            <w:tcW w:w="1035" w:type="dxa"/>
          </w:tcPr>
          <w:p w14:paraId="40BB17C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A(mm)</w:t>
            </w:r>
          </w:p>
        </w:tc>
        <w:tc>
          <w:tcPr>
            <w:tcW w:w="480" w:type="dxa"/>
          </w:tcPr>
          <w:p w14:paraId="0F1F0D55">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B</w:t>
            </w:r>
          </w:p>
        </w:tc>
        <w:tc>
          <w:tcPr>
            <w:tcW w:w="900" w:type="dxa"/>
          </w:tcPr>
          <w:p w14:paraId="24FE797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Φ（°）</w:t>
            </w:r>
          </w:p>
        </w:tc>
        <w:tc>
          <w:tcPr>
            <w:tcW w:w="795" w:type="dxa"/>
          </w:tcPr>
          <w:p w14:paraId="35B43F3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C（mm）</w:t>
            </w:r>
          </w:p>
        </w:tc>
        <w:tc>
          <w:tcPr>
            <w:tcW w:w="1665" w:type="dxa"/>
          </w:tcPr>
          <w:p w14:paraId="7ABEA172">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D（mm）</w:t>
            </w:r>
          </w:p>
        </w:tc>
        <w:tc>
          <w:tcPr>
            <w:tcW w:w="1605" w:type="dxa"/>
          </w:tcPr>
          <w:p w14:paraId="28F7BC76">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E（mm）</w:t>
            </w:r>
          </w:p>
        </w:tc>
        <w:tc>
          <w:tcPr>
            <w:tcW w:w="786" w:type="dxa"/>
          </w:tcPr>
          <w:p w14:paraId="06335A03">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F（mm）</w:t>
            </w:r>
          </w:p>
        </w:tc>
        <w:tc>
          <w:tcPr>
            <w:tcW w:w="894" w:type="dxa"/>
          </w:tcPr>
          <w:p w14:paraId="779BEAFD">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G（mm）</w:t>
            </w:r>
          </w:p>
        </w:tc>
      </w:tr>
      <w:tr w14:paraId="2146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645" w:type="dxa"/>
            <w:vAlign w:val="top"/>
          </w:tcPr>
          <w:p w14:paraId="74980509">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lang w:val="en-US" w:eastAsia="zh-CN" w:bidi="ar-SA"/>
              </w:rPr>
              <w:t>JCSB-CLX-400</w:t>
            </w:r>
          </w:p>
        </w:tc>
        <w:tc>
          <w:tcPr>
            <w:tcW w:w="1035" w:type="dxa"/>
          </w:tcPr>
          <w:p w14:paraId="6F080ABB">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230-400</w:t>
            </w:r>
          </w:p>
        </w:tc>
        <w:tc>
          <w:tcPr>
            <w:tcW w:w="480" w:type="dxa"/>
          </w:tcPr>
          <w:p w14:paraId="34DE834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w:t>
            </w:r>
          </w:p>
        </w:tc>
        <w:tc>
          <w:tcPr>
            <w:tcW w:w="900" w:type="dxa"/>
            <w:vAlign w:val="top"/>
          </w:tcPr>
          <w:p w14:paraId="1FCEB145">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45-60</w:t>
            </w:r>
          </w:p>
        </w:tc>
        <w:tc>
          <w:tcPr>
            <w:tcW w:w="795" w:type="dxa"/>
          </w:tcPr>
          <w:p w14:paraId="05D27DF3">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7194042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35E23769">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11C39A64">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tcPr>
          <w:p w14:paraId="3DFFF3D0">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1571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645" w:type="dxa"/>
            <w:vAlign w:val="top"/>
          </w:tcPr>
          <w:p w14:paraId="0F19FE89">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lang w:val="en-US" w:eastAsia="zh-CN" w:bidi="ar-SA"/>
              </w:rPr>
              <w:t>JCSB-CLX-500</w:t>
            </w:r>
          </w:p>
        </w:tc>
        <w:tc>
          <w:tcPr>
            <w:tcW w:w="1035" w:type="dxa"/>
          </w:tcPr>
          <w:p w14:paraId="4407AB86">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233-500</w:t>
            </w:r>
          </w:p>
        </w:tc>
        <w:tc>
          <w:tcPr>
            <w:tcW w:w="480" w:type="dxa"/>
          </w:tcPr>
          <w:p w14:paraId="699BEA6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900" w:type="dxa"/>
            <w:vAlign w:val="top"/>
          </w:tcPr>
          <w:p w14:paraId="2DC4238F">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45-65</w:t>
            </w:r>
          </w:p>
        </w:tc>
        <w:tc>
          <w:tcPr>
            <w:tcW w:w="795" w:type="dxa"/>
          </w:tcPr>
          <w:p w14:paraId="6662ECAF">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644E8BA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23299F4A">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3BB153FE">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tcPr>
          <w:p w14:paraId="200210AD">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1F651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645" w:type="dxa"/>
            <w:vAlign w:val="top"/>
          </w:tcPr>
          <w:p w14:paraId="4CFC958B">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lang w:val="en-US" w:eastAsia="zh-CN" w:bidi="ar-SA"/>
              </w:rPr>
              <w:t>JCSB-CLX-600</w:t>
            </w:r>
          </w:p>
        </w:tc>
        <w:tc>
          <w:tcPr>
            <w:tcW w:w="1035" w:type="dxa"/>
          </w:tcPr>
          <w:p w14:paraId="09AA83C2">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279-600</w:t>
            </w:r>
          </w:p>
        </w:tc>
        <w:tc>
          <w:tcPr>
            <w:tcW w:w="480" w:type="dxa"/>
          </w:tcPr>
          <w:p w14:paraId="1C48A966">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w:t>
            </w:r>
          </w:p>
        </w:tc>
        <w:tc>
          <w:tcPr>
            <w:tcW w:w="900" w:type="dxa"/>
            <w:shd w:val="clear" w:color="auto" w:fill="auto"/>
            <w:vAlign w:val="top"/>
          </w:tcPr>
          <w:p w14:paraId="2E3AF3DE">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vertAlign w:val="baseline"/>
                <w:lang w:val="en-US" w:eastAsia="zh-CN"/>
              </w:rPr>
              <w:t>45-65</w:t>
            </w:r>
          </w:p>
        </w:tc>
        <w:tc>
          <w:tcPr>
            <w:tcW w:w="795" w:type="dxa"/>
          </w:tcPr>
          <w:p w14:paraId="26F8EC65">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3EC0C550">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7261DE72">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5741F39B">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tcPr>
          <w:p w14:paraId="5701491F">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57216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645" w:type="dxa"/>
            <w:vAlign w:val="top"/>
          </w:tcPr>
          <w:p w14:paraId="0181705D">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lang w:val="en-US" w:eastAsia="zh-CN" w:bidi="ar-SA"/>
              </w:rPr>
              <w:t>JCSB-CLX-700</w:t>
            </w:r>
          </w:p>
        </w:tc>
        <w:tc>
          <w:tcPr>
            <w:tcW w:w="1035" w:type="dxa"/>
          </w:tcPr>
          <w:p w14:paraId="0774FD16">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326-587</w:t>
            </w:r>
          </w:p>
        </w:tc>
        <w:tc>
          <w:tcPr>
            <w:tcW w:w="480" w:type="dxa"/>
          </w:tcPr>
          <w:p w14:paraId="2B794BA6">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w:t>
            </w:r>
          </w:p>
        </w:tc>
        <w:tc>
          <w:tcPr>
            <w:tcW w:w="900" w:type="dxa"/>
            <w:vAlign w:val="top"/>
          </w:tcPr>
          <w:p w14:paraId="48AA7A45">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50-65</w:t>
            </w:r>
          </w:p>
        </w:tc>
        <w:tc>
          <w:tcPr>
            <w:tcW w:w="795" w:type="dxa"/>
          </w:tcPr>
          <w:p w14:paraId="18448EFF">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3C8B5625">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3ABDBCDA">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1B060179">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tcPr>
          <w:p w14:paraId="16225FB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0A231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645" w:type="dxa"/>
            <w:vAlign w:val="top"/>
          </w:tcPr>
          <w:p w14:paraId="2AC549B9">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kern w:val="2"/>
                <w:sz w:val="21"/>
                <w:szCs w:val="21"/>
                <w:lang w:val="en-US" w:eastAsia="zh-CN" w:bidi="ar-SA"/>
              </w:rPr>
              <w:t>JCSB-CLX-800</w:t>
            </w:r>
          </w:p>
        </w:tc>
        <w:tc>
          <w:tcPr>
            <w:tcW w:w="1035" w:type="dxa"/>
          </w:tcPr>
          <w:p w14:paraId="1032A19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373-671</w:t>
            </w:r>
          </w:p>
        </w:tc>
        <w:tc>
          <w:tcPr>
            <w:tcW w:w="480" w:type="dxa"/>
          </w:tcPr>
          <w:p w14:paraId="41433DAF">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8</w:t>
            </w:r>
          </w:p>
        </w:tc>
        <w:tc>
          <w:tcPr>
            <w:tcW w:w="900" w:type="dxa"/>
            <w:vAlign w:val="top"/>
          </w:tcPr>
          <w:p w14:paraId="57396083">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50-65</w:t>
            </w:r>
          </w:p>
        </w:tc>
        <w:tc>
          <w:tcPr>
            <w:tcW w:w="795" w:type="dxa"/>
          </w:tcPr>
          <w:p w14:paraId="4C91668D">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277404DE">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37D00B05">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450F790F">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tcPr>
          <w:p w14:paraId="7F38D7D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48AB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645" w:type="dxa"/>
            <w:vAlign w:val="top"/>
          </w:tcPr>
          <w:p w14:paraId="45A4F455">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JCSB-CLX-900</w:t>
            </w:r>
          </w:p>
        </w:tc>
        <w:tc>
          <w:tcPr>
            <w:tcW w:w="1035" w:type="dxa"/>
          </w:tcPr>
          <w:p w14:paraId="7BACBC2B">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419-755</w:t>
            </w:r>
          </w:p>
        </w:tc>
        <w:tc>
          <w:tcPr>
            <w:tcW w:w="480" w:type="dxa"/>
          </w:tcPr>
          <w:p w14:paraId="6B7664C2">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9</w:t>
            </w:r>
          </w:p>
        </w:tc>
        <w:tc>
          <w:tcPr>
            <w:tcW w:w="900" w:type="dxa"/>
            <w:vAlign w:val="top"/>
          </w:tcPr>
          <w:p w14:paraId="7760A841">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50-65</w:t>
            </w:r>
          </w:p>
        </w:tc>
        <w:tc>
          <w:tcPr>
            <w:tcW w:w="795" w:type="dxa"/>
          </w:tcPr>
          <w:p w14:paraId="6F294A2F">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404B585B">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345DDFD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3190D551">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tcPr>
          <w:p w14:paraId="7A515C4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381E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645" w:type="dxa"/>
            <w:vAlign w:val="top"/>
          </w:tcPr>
          <w:p w14:paraId="2A48A82D">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JCSB-CLX-1000</w:t>
            </w:r>
          </w:p>
        </w:tc>
        <w:tc>
          <w:tcPr>
            <w:tcW w:w="1035" w:type="dxa"/>
          </w:tcPr>
          <w:p w14:paraId="56AD7416">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466-577</w:t>
            </w:r>
          </w:p>
        </w:tc>
        <w:tc>
          <w:tcPr>
            <w:tcW w:w="480" w:type="dxa"/>
          </w:tcPr>
          <w:p w14:paraId="5CDE9A29">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w:t>
            </w:r>
          </w:p>
        </w:tc>
        <w:tc>
          <w:tcPr>
            <w:tcW w:w="900" w:type="dxa"/>
            <w:vAlign w:val="top"/>
          </w:tcPr>
          <w:p w14:paraId="0C9FA631">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60-65</w:t>
            </w:r>
          </w:p>
        </w:tc>
        <w:tc>
          <w:tcPr>
            <w:tcW w:w="795" w:type="dxa"/>
          </w:tcPr>
          <w:p w14:paraId="6176174B">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0692DF7B">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4CA4C0F8">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1588180E">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tcPr>
          <w:p w14:paraId="5339186C">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227B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645" w:type="dxa"/>
            <w:vAlign w:val="top"/>
          </w:tcPr>
          <w:p w14:paraId="080E5ACD">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JCSB-CLX-1100</w:t>
            </w:r>
          </w:p>
        </w:tc>
        <w:tc>
          <w:tcPr>
            <w:tcW w:w="1035" w:type="dxa"/>
          </w:tcPr>
          <w:p w14:paraId="648C04B0">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512-635</w:t>
            </w:r>
          </w:p>
        </w:tc>
        <w:tc>
          <w:tcPr>
            <w:tcW w:w="480" w:type="dxa"/>
          </w:tcPr>
          <w:p w14:paraId="1E5C76ED">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11</w:t>
            </w:r>
          </w:p>
        </w:tc>
        <w:tc>
          <w:tcPr>
            <w:tcW w:w="900" w:type="dxa"/>
            <w:vAlign w:val="top"/>
          </w:tcPr>
          <w:p w14:paraId="4C6ECBB7">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60-65</w:t>
            </w:r>
          </w:p>
        </w:tc>
        <w:tc>
          <w:tcPr>
            <w:tcW w:w="795" w:type="dxa"/>
          </w:tcPr>
          <w:p w14:paraId="08C839CD">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3B481853">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4775A659">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739814E0">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tcPr>
          <w:p w14:paraId="447AAE9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10DE9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exact"/>
          <w:jc w:val="center"/>
        </w:trPr>
        <w:tc>
          <w:tcPr>
            <w:tcW w:w="1645" w:type="dxa"/>
            <w:vAlign w:val="top"/>
          </w:tcPr>
          <w:p w14:paraId="3BD2D72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JCSB-CLX-1200</w:t>
            </w:r>
          </w:p>
        </w:tc>
        <w:tc>
          <w:tcPr>
            <w:tcW w:w="1035" w:type="dxa"/>
          </w:tcPr>
          <w:p w14:paraId="47BD002A">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559-692</w:t>
            </w:r>
          </w:p>
        </w:tc>
        <w:tc>
          <w:tcPr>
            <w:tcW w:w="480" w:type="dxa"/>
          </w:tcPr>
          <w:p w14:paraId="09147649">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12</w:t>
            </w:r>
          </w:p>
        </w:tc>
        <w:tc>
          <w:tcPr>
            <w:tcW w:w="900" w:type="dxa"/>
            <w:vAlign w:val="top"/>
          </w:tcPr>
          <w:p w14:paraId="3BA35EE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60-65</w:t>
            </w:r>
          </w:p>
        </w:tc>
        <w:tc>
          <w:tcPr>
            <w:tcW w:w="795" w:type="dxa"/>
          </w:tcPr>
          <w:p w14:paraId="54CE8B8B">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4DE4B7BA">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63B94393">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50F8978B">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vAlign w:val="top"/>
          </w:tcPr>
          <w:p w14:paraId="79B3B849">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78133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645" w:type="dxa"/>
            <w:vAlign w:val="top"/>
          </w:tcPr>
          <w:p w14:paraId="1A04892C">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JCSB-CLX-1300</w:t>
            </w:r>
          </w:p>
        </w:tc>
        <w:tc>
          <w:tcPr>
            <w:tcW w:w="1035" w:type="dxa"/>
          </w:tcPr>
          <w:p w14:paraId="1916903F">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606-750</w:t>
            </w:r>
          </w:p>
        </w:tc>
        <w:tc>
          <w:tcPr>
            <w:tcW w:w="480" w:type="dxa"/>
          </w:tcPr>
          <w:p w14:paraId="5BB4974C">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13</w:t>
            </w:r>
          </w:p>
        </w:tc>
        <w:tc>
          <w:tcPr>
            <w:tcW w:w="900" w:type="dxa"/>
            <w:vAlign w:val="top"/>
          </w:tcPr>
          <w:p w14:paraId="0B165FBC">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60-65</w:t>
            </w:r>
          </w:p>
        </w:tc>
        <w:tc>
          <w:tcPr>
            <w:tcW w:w="795" w:type="dxa"/>
          </w:tcPr>
          <w:p w14:paraId="5EB5AB92">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0B9F861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629CE1E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66518A77">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vAlign w:val="top"/>
          </w:tcPr>
          <w:p w14:paraId="3714256E">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66DC8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45" w:type="dxa"/>
            <w:vAlign w:val="top"/>
          </w:tcPr>
          <w:p w14:paraId="03EE69EA">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JCSB-CLX-1400</w:t>
            </w:r>
          </w:p>
        </w:tc>
        <w:tc>
          <w:tcPr>
            <w:tcW w:w="1035" w:type="dxa"/>
          </w:tcPr>
          <w:p w14:paraId="1FA9FC40">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652-708</w:t>
            </w:r>
          </w:p>
        </w:tc>
        <w:tc>
          <w:tcPr>
            <w:tcW w:w="480" w:type="dxa"/>
          </w:tcPr>
          <w:p w14:paraId="7DBDA2F7">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14</w:t>
            </w:r>
          </w:p>
        </w:tc>
        <w:tc>
          <w:tcPr>
            <w:tcW w:w="900" w:type="dxa"/>
            <w:vAlign w:val="top"/>
          </w:tcPr>
          <w:p w14:paraId="2FDCA1AA">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60-65</w:t>
            </w:r>
          </w:p>
        </w:tc>
        <w:tc>
          <w:tcPr>
            <w:tcW w:w="795" w:type="dxa"/>
          </w:tcPr>
          <w:p w14:paraId="32627F57">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4FDFF54B">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07CFF1D3">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vAlign w:val="top"/>
          </w:tcPr>
          <w:p w14:paraId="71BE8153">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c>
          <w:tcPr>
            <w:tcW w:w="894" w:type="dxa"/>
            <w:vAlign w:val="top"/>
          </w:tcPr>
          <w:p w14:paraId="03B81B30">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r w14:paraId="6B885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45" w:type="dxa"/>
            <w:vAlign w:val="top"/>
          </w:tcPr>
          <w:p w14:paraId="7C1B5CE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JCSB-CLX-1500</w:t>
            </w:r>
          </w:p>
        </w:tc>
        <w:tc>
          <w:tcPr>
            <w:tcW w:w="1035" w:type="dxa"/>
          </w:tcPr>
          <w:p w14:paraId="457716B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699-866</w:t>
            </w:r>
          </w:p>
        </w:tc>
        <w:tc>
          <w:tcPr>
            <w:tcW w:w="480" w:type="dxa"/>
          </w:tcPr>
          <w:p w14:paraId="065386E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w:t>
            </w:r>
          </w:p>
        </w:tc>
        <w:tc>
          <w:tcPr>
            <w:tcW w:w="900" w:type="dxa"/>
            <w:vAlign w:val="top"/>
          </w:tcPr>
          <w:p w14:paraId="7FB93F83">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60-65</w:t>
            </w:r>
          </w:p>
        </w:tc>
        <w:tc>
          <w:tcPr>
            <w:tcW w:w="795" w:type="dxa"/>
          </w:tcPr>
          <w:p w14:paraId="3351341D">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665" w:type="dxa"/>
          </w:tcPr>
          <w:p w14:paraId="79BD413A">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1605" w:type="dxa"/>
          </w:tcPr>
          <w:p w14:paraId="2120312B">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50≤100H≤100</w:t>
            </w:r>
          </w:p>
        </w:tc>
        <w:tc>
          <w:tcPr>
            <w:tcW w:w="786" w:type="dxa"/>
            <w:shd w:val="clear" w:color="auto" w:fill="auto"/>
            <w:vAlign w:val="top"/>
          </w:tcPr>
          <w:p w14:paraId="0A5B2A53">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vertAlign w:val="baseline"/>
                <w:lang w:val="en-US" w:eastAsia="zh-CN"/>
              </w:rPr>
              <w:t>≤150</w:t>
            </w:r>
          </w:p>
        </w:tc>
        <w:tc>
          <w:tcPr>
            <w:tcW w:w="894" w:type="dxa"/>
            <w:vAlign w:val="top"/>
          </w:tcPr>
          <w:p w14:paraId="3083BC9C">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≤150</w:t>
            </w:r>
          </w:p>
        </w:tc>
      </w:tr>
    </w:tbl>
    <w:p w14:paraId="3352B019">
      <w:pPr>
        <w:keepNext w:val="0"/>
        <w:keepLines w:val="0"/>
        <w:pageBreakBefore w:val="0"/>
        <w:widowControl w:val="0"/>
        <w:numPr>
          <w:ilvl w:val="0"/>
          <w:numId w:val="0"/>
        </w:numPr>
        <w:tabs>
          <w:tab w:val="left" w:pos="3831"/>
        </w:tabs>
        <w:kinsoku/>
        <w:wordWrap/>
        <w:overflowPunct/>
        <w:topLinePunct w:val="0"/>
        <w:autoSpaceDE/>
        <w:autoSpaceDN/>
        <w:bidi w:val="0"/>
        <w:adjustRightInd/>
        <w:snapToGrid/>
        <w:jc w:val="both"/>
        <w:textAlignment w:val="auto"/>
        <w:rPr>
          <w:rFonts w:hint="eastAsia"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表2</w:t>
      </w:r>
    </w:p>
    <w:p w14:paraId="2D7D532A">
      <w:pPr>
        <w:pStyle w:val="6"/>
        <w:bidi w:val="0"/>
        <w:rPr>
          <w:rFonts w:hint="eastAsia" w:ascii="黑体" w:hAnsi="黑体" w:eastAsia="黑体" w:cs="黑体"/>
          <w:b/>
          <w:bCs/>
          <w:sz w:val="30"/>
          <w:szCs w:val="30"/>
          <w:lang w:val="en-US" w:eastAsia="zh-CN"/>
        </w:rPr>
      </w:pPr>
      <w:r>
        <w:rPr>
          <w:rFonts w:hint="eastAsia" w:ascii="宋体" w:hAnsi="宋体" w:eastAsia="宋体" w:cs="宋体"/>
          <w:sz w:val="24"/>
          <w:szCs w:val="24"/>
          <w:lang w:val="en-US" w:eastAsia="zh-CN"/>
        </w:rPr>
        <w:t>注：</w:t>
      </w:r>
      <w:r>
        <w:rPr>
          <w:rFonts w:hint="eastAsia" w:ascii="宋体" w:hAnsi="宋体" w:eastAsia="宋体" w:cs="宋体"/>
          <w:sz w:val="24"/>
          <w:szCs w:val="24"/>
        </w:rPr>
        <w:t>A同侧两列换能器距离；B换能器层数；</w:t>
      </w:r>
      <w:r>
        <w:rPr>
          <w:rFonts w:hint="eastAsia" w:ascii="宋体" w:hAnsi="宋体" w:eastAsia="宋体" w:cs="宋体"/>
          <w:sz w:val="24"/>
          <w:szCs w:val="24"/>
          <w:lang w:val="en-US" w:eastAsia="zh-CN"/>
        </w:rPr>
        <w:t>φ</w:t>
      </w:r>
      <w:r>
        <w:rPr>
          <w:rFonts w:hint="eastAsia" w:ascii="宋体" w:hAnsi="宋体" w:eastAsia="宋体" w:cs="宋体"/>
          <w:sz w:val="24"/>
          <w:szCs w:val="24"/>
        </w:rPr>
        <w:t>声道角；C同列相邻换能器上下距离；D最下层换能器距底板距离；E最上层换能器距顶板距离；F前列换能器到进水口距离；G后列换能器到出水口距离</w:t>
      </w:r>
      <w:r>
        <w:rPr>
          <w:rFonts w:hint="eastAsia" w:ascii="宋体" w:hAnsi="宋体" w:eastAsia="宋体" w:cs="宋体"/>
          <w:sz w:val="24"/>
          <w:szCs w:val="24"/>
        </w:rPr>
        <w:br w:type="textWrapping"/>
      </w:r>
      <w:r>
        <w:rPr>
          <w:rFonts w:hint="eastAsia" w:ascii="宋体" w:hAnsi="宋体" w:eastAsia="宋体" w:cs="宋体"/>
          <w:sz w:val="24"/>
          <w:szCs w:val="24"/>
        </w:rPr>
        <w:t>*与换能器相关的距离均从换能器中心位置开始计算</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均可按照需求</w:t>
      </w:r>
      <w:r>
        <w:rPr>
          <w:rFonts w:hint="eastAsia" w:ascii="宋体" w:hAnsi="宋体" w:eastAsia="宋体" w:cs="宋体"/>
          <w:sz w:val="24"/>
          <w:szCs w:val="24"/>
          <w:vertAlign w:val="baseline"/>
          <w:lang w:val="en-US" w:eastAsia="zh-CN"/>
        </w:rPr>
        <w:t>定制</w:t>
      </w:r>
      <w:r>
        <w:rPr>
          <w:rFonts w:hint="eastAsia" w:ascii="宋体" w:hAnsi="宋体" w:eastAsia="宋体" w:cs="宋体"/>
          <w:sz w:val="24"/>
          <w:szCs w:val="24"/>
          <w:lang w:val="en-US" w:eastAsia="zh-CN"/>
        </w:rPr>
        <w:t>不同的配置，请以实物为准</w:t>
      </w:r>
      <w:r>
        <w:rPr>
          <w:rFonts w:hint="eastAsia"/>
          <w:lang w:val="en-US" w:eastAsia="zh-CN"/>
        </w:rPr>
        <w:t>。</w:t>
      </w:r>
    </w:p>
    <w:p w14:paraId="108F0FA0">
      <w:pPr>
        <w:keepNext w:val="0"/>
        <w:keepLines w:val="0"/>
        <w:pageBreakBefore w:val="0"/>
        <w:widowControl w:val="0"/>
        <w:numPr>
          <w:ilvl w:val="0"/>
          <w:numId w:val="0"/>
        </w:numPr>
        <w:kinsoku/>
        <w:wordWrap/>
        <w:overflowPunct/>
        <w:topLinePunct w:val="0"/>
        <w:autoSpaceDE/>
        <w:autoSpaceDN/>
        <w:bidi w:val="0"/>
        <w:adjustRightInd/>
        <w:snapToGrid/>
        <w:ind w:left="-240" w:leftChars="-100" w:firstLine="321" w:firstLineChars="10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2.4 产品接线</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715"/>
        <w:gridCol w:w="2565"/>
      </w:tblGrid>
      <w:tr w14:paraId="1FE95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noWrap w:val="0"/>
            <w:vAlign w:val="top"/>
          </w:tcPr>
          <w:p w14:paraId="5664A7A0">
            <w:pPr>
              <w:rPr>
                <w:rFonts w:hint="eastAsia" w:ascii="宋体" w:hAnsi="宋体" w:eastAsia="宋体" w:cs="宋体"/>
              </w:rPr>
            </w:pPr>
          </w:p>
        </w:tc>
        <w:tc>
          <w:tcPr>
            <w:tcW w:w="715" w:type="dxa"/>
            <w:noWrap w:val="0"/>
            <w:vAlign w:val="top"/>
          </w:tcPr>
          <w:p w14:paraId="430BC964">
            <w:pPr>
              <w:rPr>
                <w:rFonts w:hint="eastAsia" w:ascii="宋体" w:hAnsi="宋体" w:eastAsia="宋体" w:cs="宋体"/>
              </w:rPr>
            </w:pPr>
            <w:r>
              <w:rPr>
                <w:rFonts w:hint="eastAsia" w:ascii="宋体" w:hAnsi="宋体" w:eastAsia="宋体" w:cs="宋体"/>
              </w:rPr>
              <w:t>线色</w:t>
            </w:r>
          </w:p>
        </w:tc>
        <w:tc>
          <w:tcPr>
            <w:tcW w:w="2565" w:type="dxa"/>
            <w:noWrap w:val="0"/>
            <w:vAlign w:val="top"/>
          </w:tcPr>
          <w:p w14:paraId="0B17238C">
            <w:pPr>
              <w:rPr>
                <w:rFonts w:hint="eastAsia" w:ascii="宋体" w:hAnsi="宋体" w:eastAsia="宋体" w:cs="宋体"/>
              </w:rPr>
            </w:pPr>
            <w:r>
              <w:rPr>
                <w:rFonts w:hint="eastAsia" w:ascii="宋体" w:hAnsi="宋体" w:eastAsia="宋体" w:cs="宋体"/>
              </w:rPr>
              <w:t>说明</w:t>
            </w:r>
          </w:p>
        </w:tc>
      </w:tr>
      <w:tr w14:paraId="25BCD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noWrap w:val="0"/>
            <w:vAlign w:val="top"/>
          </w:tcPr>
          <w:p w14:paraId="358254AD">
            <w:pPr>
              <w:rPr>
                <w:rFonts w:hint="eastAsia" w:ascii="宋体" w:hAnsi="宋体" w:eastAsia="宋体" w:cs="宋体"/>
              </w:rPr>
            </w:pPr>
            <w:r>
              <w:rPr>
                <w:rFonts w:hint="eastAsia" w:ascii="宋体" w:hAnsi="宋体" w:eastAsia="宋体" w:cs="宋体"/>
              </w:rPr>
              <w:t>电源</w:t>
            </w:r>
          </w:p>
        </w:tc>
        <w:tc>
          <w:tcPr>
            <w:tcW w:w="715" w:type="dxa"/>
            <w:noWrap w:val="0"/>
            <w:vAlign w:val="top"/>
          </w:tcPr>
          <w:p w14:paraId="375FB687">
            <w:pPr>
              <w:rPr>
                <w:rFonts w:hint="eastAsia" w:ascii="宋体" w:hAnsi="宋体" w:eastAsia="宋体" w:cs="宋体"/>
              </w:rPr>
            </w:pPr>
            <w:r>
              <w:rPr>
                <w:rFonts w:hint="eastAsia" w:ascii="宋体" w:hAnsi="宋体" w:eastAsia="宋体" w:cs="宋体"/>
              </w:rPr>
              <w:t>棕色</w:t>
            </w:r>
          </w:p>
        </w:tc>
        <w:tc>
          <w:tcPr>
            <w:tcW w:w="2565" w:type="dxa"/>
            <w:noWrap w:val="0"/>
            <w:vAlign w:val="top"/>
          </w:tcPr>
          <w:p w14:paraId="77641A7A">
            <w:pPr>
              <w:rPr>
                <w:rFonts w:hint="eastAsia" w:ascii="宋体" w:hAnsi="宋体" w:eastAsia="宋体" w:cs="宋体"/>
              </w:rPr>
            </w:pPr>
            <w:r>
              <w:rPr>
                <w:rFonts w:hint="eastAsia" w:ascii="宋体" w:hAnsi="宋体" w:eastAsia="宋体" w:cs="宋体"/>
              </w:rPr>
              <w:t>电源正</w:t>
            </w:r>
          </w:p>
        </w:tc>
      </w:tr>
      <w:tr w14:paraId="000FD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noWrap w:val="0"/>
            <w:vAlign w:val="top"/>
          </w:tcPr>
          <w:p w14:paraId="11016093">
            <w:pPr>
              <w:rPr>
                <w:rFonts w:hint="eastAsia" w:ascii="宋体" w:hAnsi="宋体" w:eastAsia="宋体" w:cs="宋体"/>
              </w:rPr>
            </w:pPr>
          </w:p>
        </w:tc>
        <w:tc>
          <w:tcPr>
            <w:tcW w:w="715" w:type="dxa"/>
            <w:noWrap w:val="0"/>
            <w:vAlign w:val="top"/>
          </w:tcPr>
          <w:p w14:paraId="28B566D1">
            <w:pPr>
              <w:rPr>
                <w:rFonts w:hint="eastAsia" w:ascii="宋体" w:hAnsi="宋体" w:eastAsia="宋体" w:cs="宋体"/>
              </w:rPr>
            </w:pPr>
            <w:r>
              <w:rPr>
                <w:rFonts w:hint="eastAsia" w:ascii="宋体" w:hAnsi="宋体" w:eastAsia="宋体" w:cs="宋体"/>
              </w:rPr>
              <w:t>黑色</w:t>
            </w:r>
          </w:p>
        </w:tc>
        <w:tc>
          <w:tcPr>
            <w:tcW w:w="2565" w:type="dxa"/>
            <w:noWrap w:val="0"/>
            <w:vAlign w:val="top"/>
          </w:tcPr>
          <w:p w14:paraId="4E9492FE">
            <w:pPr>
              <w:rPr>
                <w:rFonts w:hint="eastAsia" w:ascii="宋体" w:hAnsi="宋体" w:eastAsia="宋体" w:cs="宋体"/>
              </w:rPr>
            </w:pPr>
            <w:r>
              <w:rPr>
                <w:rFonts w:hint="eastAsia" w:ascii="宋体" w:hAnsi="宋体" w:eastAsia="宋体" w:cs="宋体"/>
              </w:rPr>
              <w:t>电源负</w:t>
            </w:r>
          </w:p>
        </w:tc>
      </w:tr>
      <w:tr w14:paraId="0609B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noWrap w:val="0"/>
            <w:vAlign w:val="top"/>
          </w:tcPr>
          <w:p w14:paraId="61A7E62B">
            <w:pPr>
              <w:rPr>
                <w:rFonts w:hint="eastAsia" w:ascii="宋体" w:hAnsi="宋体" w:eastAsia="宋体" w:cs="宋体"/>
              </w:rPr>
            </w:pPr>
            <w:r>
              <w:rPr>
                <w:rFonts w:hint="eastAsia" w:ascii="宋体" w:hAnsi="宋体" w:eastAsia="宋体" w:cs="宋体"/>
              </w:rPr>
              <w:t>通信</w:t>
            </w:r>
          </w:p>
        </w:tc>
        <w:tc>
          <w:tcPr>
            <w:tcW w:w="715" w:type="dxa"/>
            <w:noWrap w:val="0"/>
            <w:vAlign w:val="top"/>
          </w:tcPr>
          <w:p w14:paraId="44142580">
            <w:pPr>
              <w:rPr>
                <w:rFonts w:hint="eastAsia" w:ascii="宋体" w:hAnsi="宋体" w:eastAsia="宋体" w:cs="宋体"/>
              </w:rPr>
            </w:pPr>
            <w:r>
              <w:rPr>
                <w:rFonts w:hint="eastAsia" w:ascii="宋体" w:hAnsi="宋体" w:eastAsia="宋体" w:cs="宋体"/>
                <w:szCs w:val="24"/>
              </w:rPr>
              <w:t>黄色</w:t>
            </w:r>
          </w:p>
        </w:tc>
        <w:tc>
          <w:tcPr>
            <w:tcW w:w="2565" w:type="dxa"/>
            <w:noWrap w:val="0"/>
            <w:vAlign w:val="top"/>
          </w:tcPr>
          <w:p w14:paraId="1F36770A">
            <w:pPr>
              <w:rPr>
                <w:rFonts w:hint="eastAsia" w:ascii="宋体" w:hAnsi="宋体" w:eastAsia="宋体" w:cs="宋体"/>
              </w:rPr>
            </w:pPr>
            <w:r>
              <w:rPr>
                <w:rFonts w:hint="eastAsia" w:ascii="宋体" w:hAnsi="宋体" w:eastAsia="宋体" w:cs="宋体"/>
              </w:rPr>
              <w:t>485-A</w:t>
            </w:r>
          </w:p>
        </w:tc>
      </w:tr>
      <w:tr w14:paraId="64137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15" w:type="dxa"/>
            <w:vMerge w:val="continue"/>
            <w:noWrap w:val="0"/>
            <w:vAlign w:val="top"/>
          </w:tcPr>
          <w:p w14:paraId="375F2AC9">
            <w:pPr>
              <w:rPr>
                <w:rFonts w:hint="eastAsia" w:ascii="宋体" w:hAnsi="宋体" w:eastAsia="宋体" w:cs="宋体"/>
              </w:rPr>
            </w:pPr>
          </w:p>
        </w:tc>
        <w:tc>
          <w:tcPr>
            <w:tcW w:w="715" w:type="dxa"/>
            <w:noWrap w:val="0"/>
            <w:vAlign w:val="top"/>
          </w:tcPr>
          <w:p w14:paraId="177525C0">
            <w:pPr>
              <w:rPr>
                <w:rFonts w:hint="eastAsia" w:ascii="宋体" w:hAnsi="宋体" w:eastAsia="宋体" w:cs="宋体"/>
              </w:rPr>
            </w:pPr>
            <w:r>
              <w:rPr>
                <w:rFonts w:hint="eastAsia" w:ascii="宋体" w:hAnsi="宋体" w:eastAsia="宋体" w:cs="宋体"/>
              </w:rPr>
              <w:t>蓝色</w:t>
            </w:r>
          </w:p>
        </w:tc>
        <w:tc>
          <w:tcPr>
            <w:tcW w:w="2565" w:type="dxa"/>
            <w:noWrap w:val="0"/>
            <w:vAlign w:val="top"/>
          </w:tcPr>
          <w:p w14:paraId="152838E8">
            <w:pPr>
              <w:rPr>
                <w:rFonts w:hint="eastAsia" w:ascii="宋体" w:hAnsi="宋体" w:eastAsia="宋体" w:cs="宋体"/>
              </w:rPr>
            </w:pPr>
            <w:r>
              <w:rPr>
                <w:rFonts w:hint="eastAsia" w:ascii="宋体" w:hAnsi="宋体" w:eastAsia="宋体" w:cs="宋体"/>
              </w:rPr>
              <w:t>485-B</w:t>
            </w:r>
          </w:p>
        </w:tc>
      </w:tr>
    </w:tbl>
    <w:p w14:paraId="0E9A48B0">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eastAsia" w:ascii="宋体" w:hAnsi="宋体" w:eastAsia="宋体" w:cs="宋体"/>
          <w:kern w:val="2"/>
          <w:sz w:val="24"/>
          <w:szCs w:val="24"/>
          <w:lang w:val="en-US" w:eastAsia="zh-CN" w:bidi="ar-SA"/>
        </w:rPr>
      </w:pPr>
      <w:r>
        <w:rPr>
          <w:rFonts w:hint="eastAsia" w:ascii="黑体" w:hAnsi="黑体" w:eastAsia="黑体" w:cs="黑体"/>
          <w:b/>
          <w:bCs/>
          <w:sz w:val="30"/>
          <w:szCs w:val="30"/>
          <w:lang w:val="en-US" w:eastAsia="zh-CN"/>
        </w:rPr>
        <w:t xml:space="preserve">                       </w:t>
      </w:r>
      <w:r>
        <w:rPr>
          <w:rFonts w:hint="eastAsia" w:ascii="宋体" w:hAnsi="宋体" w:eastAsia="宋体" w:cs="宋体"/>
          <w:kern w:val="2"/>
          <w:sz w:val="24"/>
          <w:szCs w:val="24"/>
          <w:lang w:val="en-US" w:eastAsia="zh-CN" w:bidi="ar-SA"/>
        </w:rPr>
        <w:t xml:space="preserve">  表3</w:t>
      </w:r>
    </w:p>
    <w:p w14:paraId="3D4E921D">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第三章 安装及注意事项</w:t>
      </w:r>
    </w:p>
    <w:p w14:paraId="4719A040">
      <w:pPr>
        <w:keepNext w:val="0"/>
        <w:keepLines w:val="0"/>
        <w:pageBreakBefore w:val="0"/>
        <w:widowControl w:val="0"/>
        <w:numPr>
          <w:ilvl w:val="0"/>
          <w:numId w:val="0"/>
        </w:numPr>
        <w:kinsoku/>
        <w:wordWrap/>
        <w:overflowPunct/>
        <w:topLinePunct w:val="0"/>
        <w:autoSpaceDE/>
        <w:autoSpaceDN/>
        <w:bidi w:val="0"/>
        <w:adjustRightInd/>
        <w:snapToGrid/>
        <w:ind w:left="-240" w:leftChars="-100" w:firstLine="321" w:firstLineChars="100"/>
        <w:jc w:val="both"/>
        <w:textAlignment w:val="auto"/>
        <w:rPr>
          <w:rFonts w:hint="default" w:ascii="黑体" w:hAnsi="黑体" w:eastAsia="黑体" w:cs="黑体"/>
          <w:b/>
          <w:bCs/>
          <w:sz w:val="32"/>
          <w:szCs w:val="32"/>
          <w:lang w:val="en-US" w:eastAsia="zh-CN"/>
        </w:rPr>
      </w:pPr>
      <w:r>
        <w:rPr>
          <w:rFonts w:hint="eastAsia" w:ascii="黑体" w:hAnsi="黑体" w:eastAsia="黑体" w:cs="黑体"/>
          <w:b/>
          <w:bCs/>
          <w:sz w:val="32"/>
          <w:szCs w:val="32"/>
          <w:lang w:val="en-US" w:eastAsia="zh-CN"/>
        </w:rPr>
        <w:t xml:space="preserve">3.1 </w:t>
      </w:r>
      <w:r>
        <w:rPr>
          <w:rFonts w:hint="default" w:ascii="黑体" w:hAnsi="黑体" w:eastAsia="黑体" w:cs="黑体"/>
          <w:b/>
          <w:bCs/>
          <w:sz w:val="32"/>
          <w:szCs w:val="32"/>
          <w:lang w:val="en-US" w:eastAsia="zh-CN"/>
        </w:rPr>
        <w:t>安装</w:t>
      </w:r>
      <w:r>
        <w:rPr>
          <w:rFonts w:hint="eastAsia" w:ascii="黑体" w:hAnsi="黑体" w:eastAsia="黑体" w:cs="黑体"/>
          <w:b/>
          <w:bCs/>
          <w:sz w:val="32"/>
          <w:szCs w:val="32"/>
          <w:lang w:val="en-US" w:eastAsia="zh-CN"/>
        </w:rPr>
        <w:t>注意事项</w:t>
      </w:r>
    </w:p>
    <w:p w14:paraId="2C4DC408">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超声波测流箱适用于矩形渠道、梯形渠道、涵洞出口、节制闸、取水闸闸前等位置 的安装，通用要求如下：</w:t>
      </w:r>
    </w:p>
    <w:p w14:paraId="34084E73">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hint="eastAsia" w:ascii="黑体" w:hAnsi="黑体" w:eastAsia="黑体" w:cs="黑体"/>
          <w:b/>
          <w:bCs/>
          <w:sz w:val="24"/>
          <w:szCs w:val="24"/>
          <w:lang w:val="en-US" w:eastAsia="zh-CN"/>
        </w:rPr>
      </w:pPr>
      <w:r>
        <w:rPr>
          <w:rFonts w:ascii="宋体" w:hAnsi="宋体" w:eastAsia="宋体" w:cs="宋体"/>
          <w:b w:val="0"/>
          <w:bCs w:val="0"/>
          <w:color w:val="000000"/>
          <w:sz w:val="24"/>
          <w:szCs w:val="24"/>
        </w:rPr>
        <w:t>被测水中不得含有大量气泡；不能为固液、气液两相流；</w:t>
      </w:r>
    </w:p>
    <w:p w14:paraId="6C27C0C3">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hint="eastAsia" w:ascii="黑体" w:hAnsi="黑体" w:eastAsia="黑体" w:cs="黑体"/>
          <w:b/>
          <w:bCs/>
          <w:sz w:val="24"/>
          <w:szCs w:val="24"/>
          <w:lang w:val="en-US" w:eastAsia="zh-CN"/>
        </w:rPr>
      </w:pPr>
      <w:r>
        <w:rPr>
          <w:rFonts w:ascii="宋体" w:hAnsi="宋体" w:eastAsia="宋体" w:cs="宋体"/>
          <w:b w:val="0"/>
          <w:bCs w:val="0"/>
          <w:color w:val="000000"/>
          <w:sz w:val="24"/>
          <w:szCs w:val="24"/>
        </w:rPr>
        <w:t>安装基础需水平；</w:t>
      </w:r>
      <w:r>
        <w:rPr>
          <w:rFonts w:ascii="宋体" w:hAnsi="宋体" w:eastAsia="宋体" w:cs="宋体"/>
          <w:sz w:val="24"/>
          <w:szCs w:val="24"/>
        </w:rPr>
        <w:t>仪器放置时要平稳，避免碰撞或摔落</w:t>
      </w:r>
      <w:r>
        <w:rPr>
          <w:rFonts w:hint="eastAsia" w:ascii="宋体" w:hAnsi="宋体" w:cs="宋体"/>
          <w:sz w:val="24"/>
          <w:szCs w:val="24"/>
          <w:lang w:eastAsia="zh-CN"/>
        </w:rPr>
        <w:t>。</w:t>
      </w:r>
    </w:p>
    <w:p w14:paraId="74516CAD">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hint="eastAsia" w:ascii="黑体" w:hAnsi="黑体" w:eastAsia="黑体" w:cs="黑体"/>
          <w:b/>
          <w:bCs/>
          <w:sz w:val="24"/>
          <w:szCs w:val="24"/>
          <w:lang w:val="en-US" w:eastAsia="zh-CN"/>
        </w:rPr>
      </w:pPr>
      <w:r>
        <w:rPr>
          <w:rFonts w:ascii="宋体" w:hAnsi="宋体" w:eastAsia="宋体" w:cs="宋体"/>
          <w:sz w:val="24"/>
          <w:szCs w:val="24"/>
        </w:rPr>
        <w:t>根据设计要求，将各个构件按照一定的顺序进行组装。在组装过程中，需要注意构件之间的连接和密封性，避免出现漏水等问题。</w:t>
      </w:r>
    </w:p>
    <w:p w14:paraId="481B4405">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hint="eastAsia" w:ascii="黑体" w:hAnsi="黑体" w:eastAsia="黑体" w:cs="黑体"/>
          <w:b/>
          <w:bCs/>
          <w:sz w:val="24"/>
          <w:szCs w:val="24"/>
          <w:lang w:val="en-US" w:eastAsia="zh-CN"/>
        </w:rPr>
      </w:pPr>
      <w:r>
        <w:rPr>
          <w:rFonts w:ascii="宋体" w:hAnsi="宋体" w:eastAsia="宋体" w:cs="宋体"/>
          <w:sz w:val="24"/>
          <w:szCs w:val="24"/>
        </w:rPr>
        <w:t>在安装过程中，需要确保施工人员的安全。对于高处作业或涉及深基坑等危险性较高的场所，需要严格按照相关</w:t>
      </w:r>
      <w:r>
        <w:rPr>
          <w:rFonts w:hint="eastAsia" w:ascii="宋体" w:hAnsi="宋体" w:cs="宋体"/>
          <w:sz w:val="24"/>
          <w:szCs w:val="24"/>
          <w:lang w:eastAsia="zh-CN"/>
        </w:rPr>
        <w:t>。</w:t>
      </w:r>
    </w:p>
    <w:p w14:paraId="5AD50C81">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hint="eastAsia" w:ascii="黑体" w:hAnsi="黑体" w:eastAsia="黑体" w:cs="黑体"/>
          <w:b/>
          <w:bCs/>
          <w:sz w:val="24"/>
          <w:szCs w:val="24"/>
          <w:lang w:val="en-US" w:eastAsia="zh-CN"/>
        </w:rPr>
      </w:pPr>
      <w:r>
        <w:rPr>
          <w:rFonts w:ascii="宋体" w:hAnsi="宋体" w:eastAsia="宋体" w:cs="宋体"/>
          <w:sz w:val="24"/>
          <w:szCs w:val="24"/>
        </w:rPr>
        <w:t>传感器安装：传感器应安装在平静水域或无水动区域，并保持水流方向与传感器正面垂直。</w:t>
      </w:r>
    </w:p>
    <w:p w14:paraId="6FEFD157">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hint="eastAsia" w:ascii="黑体" w:hAnsi="黑体" w:eastAsia="黑体" w:cs="黑体"/>
          <w:b/>
          <w:bCs/>
          <w:sz w:val="24"/>
          <w:szCs w:val="24"/>
          <w:lang w:val="en-US" w:eastAsia="zh-CN"/>
        </w:rPr>
      </w:pPr>
      <w:r>
        <w:rPr>
          <w:rFonts w:ascii="宋体" w:hAnsi="宋体" w:eastAsia="宋体" w:cs="宋体"/>
          <w:b w:val="0"/>
          <w:bCs w:val="0"/>
          <w:color w:val="000000"/>
          <w:sz w:val="24"/>
          <w:szCs w:val="24"/>
        </w:rPr>
        <w:t>水位在 80mm 以上；（80mm 以下探头不淹没无法测量流速，进而无法计算流量）</w:t>
      </w:r>
      <w:r>
        <w:rPr>
          <w:rFonts w:hint="eastAsia" w:ascii="宋体" w:hAnsi="宋体" w:cs="宋体"/>
          <w:b w:val="0"/>
          <w:bCs w:val="0"/>
          <w:color w:val="000000"/>
          <w:sz w:val="24"/>
          <w:szCs w:val="24"/>
          <w:lang w:eastAsia="zh-CN"/>
        </w:rPr>
        <w:t>。</w:t>
      </w:r>
    </w:p>
    <w:p w14:paraId="745F7752">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hint="eastAsia" w:ascii="黑体" w:hAnsi="黑体" w:eastAsia="黑体" w:cs="黑体"/>
          <w:b/>
          <w:bCs/>
          <w:sz w:val="24"/>
          <w:szCs w:val="24"/>
          <w:lang w:val="en-US" w:eastAsia="zh-CN"/>
        </w:rPr>
      </w:pPr>
      <w:r>
        <w:rPr>
          <w:rFonts w:ascii="宋体" w:hAnsi="宋体" w:eastAsia="宋体" w:cs="宋体"/>
          <w:b w:val="0"/>
          <w:bCs w:val="0"/>
          <w:color w:val="000000"/>
          <w:sz w:val="24"/>
          <w:szCs w:val="24"/>
        </w:rPr>
        <w:t>缓流（水位大于临界水深）需保证前二后一倍的等内径直管段</w:t>
      </w:r>
      <w:r>
        <w:rPr>
          <w:rFonts w:hint="eastAsia" w:ascii="宋体" w:hAnsi="宋体" w:cs="宋体"/>
          <w:b w:val="0"/>
          <w:bCs w:val="0"/>
          <w:color w:val="000000"/>
          <w:sz w:val="24"/>
          <w:szCs w:val="24"/>
          <w:lang w:eastAsia="zh-CN"/>
        </w:rPr>
        <w:t>。</w:t>
      </w:r>
    </w:p>
    <w:p w14:paraId="1BB23CCF">
      <w:pPr>
        <w:keepNext w:val="0"/>
        <w:keepLines w:val="0"/>
        <w:pageBreakBefore w:val="0"/>
        <w:widowControl w:val="0"/>
        <w:numPr>
          <w:ilvl w:val="0"/>
          <w:numId w:val="4"/>
        </w:numPr>
        <w:kinsoku/>
        <w:wordWrap/>
        <w:overflowPunct/>
        <w:topLinePunct w:val="0"/>
        <w:autoSpaceDE/>
        <w:autoSpaceDN/>
        <w:bidi w:val="0"/>
        <w:adjustRightInd/>
        <w:snapToGrid/>
        <w:ind w:left="900" w:leftChars="0" w:hanging="420" w:firstLineChars="0"/>
        <w:jc w:val="both"/>
        <w:textAlignment w:val="auto"/>
        <w:rPr>
          <w:rFonts w:hint="eastAsia" w:ascii="黑体" w:hAnsi="黑体" w:eastAsia="黑体" w:cs="黑体"/>
          <w:b/>
          <w:bCs/>
          <w:sz w:val="24"/>
          <w:szCs w:val="24"/>
          <w:lang w:val="en-US" w:eastAsia="zh-CN"/>
        </w:rPr>
      </w:pPr>
      <w:r>
        <w:rPr>
          <w:rFonts w:ascii="宋体" w:hAnsi="宋体" w:eastAsia="宋体" w:cs="宋体"/>
          <w:b w:val="0"/>
          <w:bCs w:val="0"/>
          <w:color w:val="000000"/>
          <w:sz w:val="24"/>
          <w:szCs w:val="24"/>
        </w:rPr>
        <w:t>急流（水位小于临界水深）需保证前五后三倍的等内径直管段</w:t>
      </w:r>
      <w:r>
        <w:rPr>
          <w:rFonts w:hint="eastAsia" w:ascii="宋体" w:hAnsi="宋体" w:cs="宋体"/>
          <w:b w:val="0"/>
          <w:bCs w:val="0"/>
          <w:color w:val="000000"/>
          <w:sz w:val="24"/>
          <w:szCs w:val="24"/>
          <w:lang w:eastAsia="zh-CN"/>
        </w:rPr>
        <w:t>。</w:t>
      </w:r>
    </w:p>
    <w:p w14:paraId="40EEB9CB">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 xml:space="preserve">3.2 </w:t>
      </w:r>
      <w:r>
        <w:rPr>
          <w:rFonts w:hint="default" w:ascii="黑体" w:hAnsi="黑体" w:eastAsia="黑体" w:cs="黑体"/>
          <w:b/>
          <w:bCs/>
          <w:sz w:val="32"/>
          <w:szCs w:val="32"/>
          <w:lang w:val="en-US" w:eastAsia="zh-CN"/>
        </w:rPr>
        <w:t>安装</w:t>
      </w:r>
      <w:r>
        <w:rPr>
          <w:rFonts w:hint="eastAsia" w:ascii="黑体" w:hAnsi="黑体" w:eastAsia="黑体" w:cs="黑体"/>
          <w:b/>
          <w:bCs/>
          <w:sz w:val="32"/>
          <w:szCs w:val="32"/>
          <w:lang w:val="en-US" w:eastAsia="zh-CN"/>
        </w:rPr>
        <w:t>示意图</w:t>
      </w:r>
    </w:p>
    <w:p w14:paraId="5D8ECCDE">
      <w:pPr>
        <w:keepNext w:val="0"/>
        <w:keepLines w:val="0"/>
        <w:pageBreakBefore w:val="0"/>
        <w:widowControl w:val="0"/>
        <w:numPr>
          <w:ilvl w:val="0"/>
          <w:numId w:val="0"/>
        </w:numPr>
        <w:tabs>
          <w:tab w:val="left" w:pos="240"/>
        </w:tabs>
        <w:kinsoku/>
        <w:wordWrap/>
        <w:overflowPunct/>
        <w:topLinePunct w:val="0"/>
        <w:autoSpaceDE/>
        <w:autoSpaceDN/>
        <w:bidi w:val="0"/>
        <w:adjustRightInd/>
        <w:snapToGrid/>
        <w:ind w:left="240" w:leftChars="100" w:firstLine="0" w:firstLineChars="0"/>
        <w:jc w:val="both"/>
        <w:textAlignment w:val="auto"/>
      </w:pPr>
      <w:r>
        <w:drawing>
          <wp:inline distT="0" distB="0" distL="114300" distR="114300">
            <wp:extent cx="3854450" cy="4352925"/>
            <wp:effectExtent l="0" t="0" r="9525" b="12700"/>
            <wp:docPr id="2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
                    <pic:cNvPicPr>
                      <a:picLocks noChangeAspect="1"/>
                    </pic:cNvPicPr>
                  </pic:nvPicPr>
                  <pic:blipFill>
                    <a:blip r:embed="rId8"/>
                    <a:stretch>
                      <a:fillRect/>
                    </a:stretch>
                  </pic:blipFill>
                  <pic:spPr>
                    <a:xfrm rot="16200000">
                      <a:off x="0" y="0"/>
                      <a:ext cx="3854450" cy="4352925"/>
                    </a:xfrm>
                    <a:prstGeom prst="rect">
                      <a:avLst/>
                    </a:prstGeom>
                    <a:noFill/>
                    <a:ln>
                      <a:noFill/>
                    </a:ln>
                  </pic:spPr>
                </pic:pic>
              </a:graphicData>
            </a:graphic>
          </wp:inline>
        </w:drawing>
      </w:r>
    </w:p>
    <w:p w14:paraId="731840D3">
      <w:pPr>
        <w:keepNext w:val="0"/>
        <w:keepLines w:val="0"/>
        <w:pageBreakBefore w:val="0"/>
        <w:widowControl w:val="0"/>
        <w:numPr>
          <w:ilvl w:val="0"/>
          <w:numId w:val="0"/>
        </w:numPr>
        <w:tabs>
          <w:tab w:val="left" w:pos="240"/>
        </w:tabs>
        <w:kinsoku/>
        <w:wordWrap/>
        <w:overflowPunct/>
        <w:topLinePunct w:val="0"/>
        <w:autoSpaceDE/>
        <w:autoSpaceDN/>
        <w:bidi w:val="0"/>
        <w:adjustRightInd/>
        <w:snapToGrid/>
        <w:ind w:left="240" w:leftChars="100" w:firstLine="0" w:firstLineChars="0"/>
        <w:jc w:val="both"/>
        <w:textAlignment w:val="auto"/>
        <w:rPr>
          <w:rFonts w:hint="eastAsia" w:ascii="宋体" w:hAnsi="宋体" w:eastAsia="宋体" w:cs="宋体"/>
          <w:lang w:val="en-US" w:eastAsia="zh-CN"/>
        </w:rPr>
      </w:pPr>
      <w:r>
        <w:rPr>
          <w:rFonts w:hint="eastAsia"/>
          <w:lang w:val="en-US" w:eastAsia="zh-CN"/>
        </w:rPr>
        <w:t xml:space="preserve">                         </w:t>
      </w:r>
      <w:r>
        <w:rPr>
          <w:rFonts w:hint="eastAsia" w:ascii="宋体" w:hAnsi="宋体" w:eastAsia="宋体" w:cs="宋体"/>
          <w:lang w:val="en-US" w:eastAsia="zh-CN"/>
        </w:rPr>
        <w:t xml:space="preserve"> 正交安装示意图4</w:t>
      </w:r>
    </w:p>
    <w:p w14:paraId="6B4A3670">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取水口处需有八字墙，八字墙向渠道外延伸距离大于等于 3 倍测水箱口径，八 字墙开口宽度为测箱口径 2 倍以上，闸后需有 5 倍测水箱口径的直管段</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且测水箱安装方 向与取 水口方向一致 ，取水口后渠道与取水口方向一致；</w:t>
      </w:r>
    </w:p>
    <w:p w14:paraId="1E3B75F0">
      <w:pPr>
        <w:keepNext w:val="0"/>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ascii="宋体" w:hAnsi="宋体" w:eastAsia="宋体" w:cs="宋体"/>
          <w:b w:val="0"/>
          <w:bCs w:val="0"/>
          <w:color w:val="000000"/>
          <w:sz w:val="24"/>
          <w:szCs w:val="24"/>
          <w:lang w:eastAsia="zh-CN"/>
        </w:rPr>
      </w:pPr>
      <w:r>
        <w:drawing>
          <wp:inline distT="0" distB="0" distL="114300" distR="114300">
            <wp:extent cx="4780915" cy="4039870"/>
            <wp:effectExtent l="0" t="0" r="635" b="1778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9"/>
                    <a:stretch>
                      <a:fillRect/>
                    </a:stretch>
                  </pic:blipFill>
                  <pic:spPr>
                    <a:xfrm>
                      <a:off x="0" y="0"/>
                      <a:ext cx="4780915" cy="4039870"/>
                    </a:xfrm>
                    <a:prstGeom prst="rect">
                      <a:avLst/>
                    </a:prstGeom>
                    <a:noFill/>
                    <a:ln>
                      <a:noFill/>
                    </a:ln>
                  </pic:spPr>
                </pic:pic>
              </a:graphicData>
            </a:graphic>
          </wp:inline>
        </w:drawing>
      </w:r>
    </w:p>
    <w:p w14:paraId="5D8F375B">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val="0"/>
          <w:bCs w:val="0"/>
          <w:color w:val="000000"/>
          <w:sz w:val="24"/>
          <w:szCs w:val="24"/>
          <w:lang w:val="en-US" w:eastAsia="zh-CN"/>
        </w:rPr>
      </w:pPr>
      <w:r>
        <w:rPr>
          <w:rFonts w:hint="eastAsia"/>
          <w:lang w:val="en-US" w:eastAsia="zh-CN"/>
        </w:rPr>
        <w:t xml:space="preserve">                             </w:t>
      </w:r>
      <w:r>
        <w:rPr>
          <w:rFonts w:hint="eastAsia" w:ascii="宋体" w:hAnsi="宋体" w:eastAsia="宋体" w:cs="宋体"/>
          <w:lang w:val="en-US" w:eastAsia="zh-CN"/>
        </w:rPr>
        <w:t>斜交安装示意图5</w:t>
      </w:r>
    </w:p>
    <w:p w14:paraId="769D4A22">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eastAsia" w:ascii="黑体" w:hAnsi="黑体" w:eastAsia="黑体" w:cs="黑体"/>
          <w:b/>
          <w:bCs/>
          <w:sz w:val="36"/>
          <w:szCs w:val="36"/>
          <w:lang w:val="en-US" w:eastAsia="zh-CN"/>
        </w:rPr>
      </w:pPr>
      <w:r>
        <w:rPr>
          <w:rFonts w:hint="eastAsia" w:ascii="宋体" w:hAnsi="宋体" w:eastAsia="宋体" w:cs="宋体"/>
          <w:b w:val="0"/>
          <w:bCs w:val="0"/>
          <w:color w:val="000000"/>
          <w:sz w:val="24"/>
          <w:szCs w:val="24"/>
        </w:rPr>
        <w:t>取水口处需有八字墙，八字墙向渠道外延伸距离大于等于 3 倍测水箱口</w:t>
      </w:r>
      <w:r>
        <w:rPr>
          <w:rFonts w:hint="eastAsia" w:ascii="宋体" w:hAnsi="宋体" w:eastAsia="宋体" w:cs="宋体"/>
          <w:b w:val="0"/>
          <w:bCs w:val="0"/>
          <w:color w:val="000000"/>
          <w:sz w:val="24"/>
          <w:szCs w:val="24"/>
          <w:lang w:val="en-US" w:eastAsia="zh-CN"/>
        </w:rPr>
        <w:t>径</w:t>
      </w:r>
      <w:r>
        <w:rPr>
          <w:rFonts w:hint="eastAsia" w:ascii="宋体" w:hAnsi="宋体" w:eastAsia="宋体" w:cs="宋体"/>
          <w:b w:val="0"/>
          <w:bCs w:val="0"/>
          <w:color w:val="000000"/>
          <w:sz w:val="24"/>
          <w:szCs w:val="24"/>
        </w:rPr>
        <w:t>， 八字墙开口 宽度为测箱口径 2 倍以上，闸后需有 5 倍测水箱口径的直管段；且测水箱安装方 向与取 水口方向一致 ，取水口后渠道与取水口方向一致；</w:t>
      </w:r>
    </w:p>
    <w:p w14:paraId="1093D7A2">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黑体" w:hAnsi="黑体" w:eastAsia="黑体" w:cs="黑体"/>
          <w:b/>
          <w:bCs/>
          <w:sz w:val="36"/>
          <w:szCs w:val="36"/>
          <w:lang w:val="en-US" w:eastAsia="zh-CN"/>
        </w:rPr>
      </w:pPr>
      <w:r>
        <w:drawing>
          <wp:inline distT="0" distB="0" distL="114300" distR="114300">
            <wp:extent cx="4949190" cy="2152650"/>
            <wp:effectExtent l="0" t="0" r="381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0"/>
                    <a:stretch>
                      <a:fillRect/>
                    </a:stretch>
                  </pic:blipFill>
                  <pic:spPr>
                    <a:xfrm>
                      <a:off x="0" y="0"/>
                      <a:ext cx="4949190" cy="2152650"/>
                    </a:xfrm>
                    <a:prstGeom prst="rect">
                      <a:avLst/>
                    </a:prstGeom>
                    <a:noFill/>
                    <a:ln>
                      <a:noFill/>
                    </a:ln>
                  </pic:spPr>
                </pic:pic>
              </a:graphicData>
            </a:graphic>
          </wp:inline>
        </w:drawing>
      </w:r>
    </w:p>
    <w:p w14:paraId="6222D084">
      <w:pPr>
        <w:keepNext w:val="0"/>
        <w:keepLines w:val="0"/>
        <w:pageBreakBefore w:val="0"/>
        <w:widowControl w:val="0"/>
        <w:numPr>
          <w:ilvl w:val="0"/>
          <w:numId w:val="0"/>
        </w:numPr>
        <w:kinsoku/>
        <w:wordWrap/>
        <w:overflowPunct/>
        <w:topLinePunct w:val="0"/>
        <w:autoSpaceDE/>
        <w:autoSpaceDN/>
        <w:bidi w:val="0"/>
        <w:adjustRightInd/>
        <w:snapToGrid/>
        <w:ind w:left="4698" w:leftChars="0" w:hanging="4698" w:hangingChars="1300"/>
        <w:jc w:val="both"/>
        <w:textAlignment w:val="auto"/>
        <w:rPr>
          <w:rFonts w:hint="eastAsia" w:ascii="宋体" w:hAnsi="宋体" w:eastAsia="宋体" w:cs="宋体"/>
          <w:sz w:val="24"/>
          <w:szCs w:val="24"/>
          <w:lang w:val="en-US" w:eastAsia="zh-CN"/>
        </w:rPr>
      </w:pPr>
      <w:r>
        <w:rPr>
          <w:rFonts w:hint="eastAsia" w:ascii="黑体" w:hAnsi="黑体" w:eastAsia="黑体" w:cs="黑体"/>
          <w:b/>
          <w:bCs/>
          <w:sz w:val="36"/>
          <w:szCs w:val="36"/>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val="0"/>
          <w:bCs w:val="0"/>
          <w:color w:val="000000"/>
          <w:sz w:val="24"/>
          <w:szCs w:val="24"/>
          <w:lang w:val="en-US" w:eastAsia="zh-CN"/>
        </w:rPr>
        <w:t xml:space="preserve"> 矩形渠道安装示意</w:t>
      </w:r>
      <w:r>
        <w:rPr>
          <w:rFonts w:hint="eastAsia" w:ascii="宋体" w:hAnsi="宋体" w:eastAsia="宋体" w:cs="宋体"/>
          <w:sz w:val="24"/>
          <w:szCs w:val="24"/>
          <w:lang w:val="en-US" w:eastAsia="zh-CN"/>
        </w:rPr>
        <w:t>图6</w:t>
      </w:r>
    </w:p>
    <w:p w14:paraId="732F556E">
      <w:pPr>
        <w:keepNext w:val="0"/>
        <w:keepLines w:val="0"/>
        <w:pageBreakBefore w:val="0"/>
        <w:widowControl w:val="0"/>
        <w:numPr>
          <w:ilvl w:val="0"/>
          <w:numId w:val="0"/>
        </w:numPr>
        <w:kinsoku/>
        <w:wordWrap/>
        <w:overflowPunct/>
        <w:topLinePunct w:val="0"/>
        <w:autoSpaceDE/>
        <w:autoSpaceDN/>
        <w:bidi w:val="0"/>
        <w:adjustRightInd/>
        <w:snapToGrid/>
        <w:ind w:left="0"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b w:val="0"/>
          <w:bCs w:val="0"/>
          <w:color w:val="000000"/>
          <w:sz w:val="24"/>
          <w:szCs w:val="24"/>
        </w:rPr>
        <w:t>渠道前后须有一定直管段，直管段开始位置距离涵洞出口、闸门或取水口至少 有5m 直管段， 0.05-0.3m/s 流速范围内：前直管段至少为 2 倍，后直管段为测箱口径 1 倍；0.3-0.8m/s 流速范围内：前直管段至少为 3 倍，后直管段为测箱口径 2 倍；0.8-2m/s 流速范围内：前直管段至少为 4 倍，后直管段为测箱口径 3 倍；</w:t>
      </w:r>
    </w:p>
    <w:p w14:paraId="0CC3EED4">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pPr>
      <w:r>
        <w:drawing>
          <wp:inline distT="0" distB="0" distL="114300" distR="114300">
            <wp:extent cx="5272405" cy="2559050"/>
            <wp:effectExtent l="0" t="0" r="4445" b="1270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1"/>
                    <a:stretch>
                      <a:fillRect/>
                    </a:stretch>
                  </pic:blipFill>
                  <pic:spPr>
                    <a:xfrm>
                      <a:off x="0" y="0"/>
                      <a:ext cx="5272405" cy="2559050"/>
                    </a:xfrm>
                    <a:prstGeom prst="rect">
                      <a:avLst/>
                    </a:prstGeom>
                    <a:noFill/>
                    <a:ln>
                      <a:noFill/>
                    </a:ln>
                  </pic:spPr>
                </pic:pic>
              </a:graphicData>
            </a:graphic>
          </wp:inline>
        </w:drawing>
      </w:r>
      <w:bookmarkStart w:id="7" w:name="_GoBack"/>
      <w:bookmarkEnd w:id="7"/>
    </w:p>
    <w:p w14:paraId="4F6860F9">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lang w:val="en-US" w:eastAsia="zh-CN"/>
        </w:rPr>
      </w:pPr>
      <w:r>
        <w:rPr>
          <w:rFonts w:hint="eastAsia"/>
          <w:lang w:val="en-US" w:eastAsia="zh-CN"/>
        </w:rPr>
        <w:t xml:space="preserve">                     梯形渠道安装（下底宽度大于测水箱口径）图7</w:t>
      </w:r>
    </w:p>
    <w:p w14:paraId="5B82FCDA">
      <w:pPr>
        <w:keepNext w:val="0"/>
        <w:keepLines w:val="0"/>
        <w:widowControl/>
        <w:suppressLineNumbers w:val="0"/>
        <w:ind w:firstLine="480" w:firstLineChars="200"/>
        <w:jc w:val="left"/>
        <w:rPr>
          <w:rFonts w:hint="eastAsia" w:ascii="黑体" w:hAnsi="黑体" w:eastAsia="黑体" w:cs="黑体"/>
          <w:b/>
          <w:bCs/>
          <w:sz w:val="32"/>
          <w:szCs w:val="32"/>
          <w:lang w:val="en-US" w:eastAsia="zh-CN"/>
        </w:rPr>
      </w:pPr>
      <w:r>
        <w:rPr>
          <w:rFonts w:ascii="宋体" w:hAnsi="宋体" w:eastAsia="宋体" w:cs="宋体"/>
          <w:b w:val="0"/>
          <w:bCs w:val="0"/>
          <w:color w:val="000000"/>
          <w:kern w:val="0"/>
          <w:sz w:val="24"/>
          <w:szCs w:val="24"/>
          <w:lang w:val="en-US" w:eastAsia="zh-CN" w:bidi="ar"/>
        </w:rPr>
        <w:t>渠道前后须有一定直管段，直管段开始位置距离涵洞出口、闸门或取水 口至少有</w:t>
      </w:r>
      <w:r>
        <w:rPr>
          <w:rFonts w:ascii="TimesNewRomanPSMT" w:hAnsi="TimesNewRomanPSMT" w:eastAsia="TimesNewRomanPSMT" w:cs="TimesNewRomanPSMT"/>
          <w:b w:val="0"/>
          <w:bCs w:val="0"/>
          <w:color w:val="000000"/>
          <w:kern w:val="0"/>
          <w:sz w:val="24"/>
          <w:szCs w:val="24"/>
          <w:lang w:val="en-US" w:eastAsia="zh-CN" w:bidi="ar"/>
        </w:rPr>
        <w:t>5m</w:t>
      </w:r>
      <w:r>
        <w:rPr>
          <w:rFonts w:ascii="宋体" w:hAnsi="宋体" w:eastAsia="宋体" w:cs="宋体"/>
          <w:b w:val="0"/>
          <w:bCs w:val="0"/>
          <w:color w:val="000000"/>
          <w:kern w:val="0"/>
          <w:sz w:val="24"/>
          <w:szCs w:val="24"/>
          <w:lang w:val="en-US" w:eastAsia="zh-CN" w:bidi="ar"/>
        </w:rPr>
        <w:t>直管段，</w:t>
      </w:r>
      <w:r>
        <w:rPr>
          <w:rFonts w:hint="default" w:ascii="TimesNewRomanPSMT" w:hAnsi="TimesNewRomanPSMT" w:eastAsia="TimesNewRomanPSMT" w:cs="TimesNewRomanPSMT"/>
          <w:b w:val="0"/>
          <w:bCs w:val="0"/>
          <w:color w:val="000000"/>
          <w:kern w:val="0"/>
          <w:sz w:val="24"/>
          <w:szCs w:val="24"/>
          <w:lang w:val="en-US" w:eastAsia="zh-CN" w:bidi="ar"/>
        </w:rPr>
        <w:t xml:space="preserve">0.05-0.3m/s </w:t>
      </w:r>
      <w:r>
        <w:rPr>
          <w:rFonts w:ascii="宋体" w:hAnsi="宋体" w:eastAsia="宋体" w:cs="宋体"/>
          <w:b w:val="0"/>
          <w:bCs w:val="0"/>
          <w:color w:val="000000"/>
          <w:kern w:val="0"/>
          <w:sz w:val="24"/>
          <w:szCs w:val="24"/>
          <w:lang w:val="en-US" w:eastAsia="zh-CN" w:bidi="ar"/>
        </w:rPr>
        <w:t>流速范围内：前直管段至少为</w:t>
      </w:r>
      <w:r>
        <w:rPr>
          <w:rFonts w:hint="default" w:ascii="TimesNewRomanPSMT" w:hAnsi="TimesNewRomanPSMT" w:eastAsia="TimesNewRomanPSMT" w:cs="TimesNewRomanPSMT"/>
          <w:b w:val="0"/>
          <w:bCs w:val="0"/>
          <w:color w:val="000000"/>
          <w:kern w:val="0"/>
          <w:sz w:val="24"/>
          <w:szCs w:val="24"/>
          <w:lang w:val="en-US" w:eastAsia="zh-CN" w:bidi="ar"/>
        </w:rPr>
        <w:t>2</w:t>
      </w:r>
      <w:r>
        <w:rPr>
          <w:rFonts w:ascii="宋体" w:hAnsi="宋体" w:eastAsia="宋体" w:cs="宋体"/>
          <w:b w:val="0"/>
          <w:bCs w:val="0"/>
          <w:color w:val="000000"/>
          <w:kern w:val="0"/>
          <w:sz w:val="24"/>
          <w:szCs w:val="24"/>
          <w:lang w:val="en-US" w:eastAsia="zh-CN" w:bidi="ar"/>
        </w:rPr>
        <w:t>倍，后直管段为测箱口径</w:t>
      </w:r>
      <w:r>
        <w:rPr>
          <w:rFonts w:hint="default" w:ascii="TimesNewRomanPSMT" w:hAnsi="TimesNewRomanPSMT" w:eastAsia="TimesNewRomanPSMT" w:cs="TimesNewRomanPSMT"/>
          <w:b w:val="0"/>
          <w:bCs w:val="0"/>
          <w:color w:val="000000"/>
          <w:kern w:val="0"/>
          <w:sz w:val="24"/>
          <w:szCs w:val="24"/>
          <w:lang w:val="en-US" w:eastAsia="zh-CN" w:bidi="ar"/>
        </w:rPr>
        <w:t>1</w:t>
      </w:r>
      <w:r>
        <w:rPr>
          <w:rFonts w:ascii="宋体" w:hAnsi="宋体" w:eastAsia="宋体" w:cs="宋体"/>
          <w:b w:val="0"/>
          <w:bCs w:val="0"/>
          <w:color w:val="000000"/>
          <w:kern w:val="0"/>
          <w:sz w:val="24"/>
          <w:szCs w:val="24"/>
          <w:lang w:val="en-US" w:eastAsia="zh-CN" w:bidi="ar"/>
        </w:rPr>
        <w:t>倍 ；</w:t>
      </w:r>
      <w:r>
        <w:rPr>
          <w:rFonts w:hint="default" w:ascii="TimesNewRomanPSMT" w:hAnsi="TimesNewRomanPSMT" w:eastAsia="TimesNewRomanPSMT" w:cs="TimesNewRomanPSMT"/>
          <w:b w:val="0"/>
          <w:bCs w:val="0"/>
          <w:color w:val="000000"/>
          <w:kern w:val="0"/>
          <w:sz w:val="24"/>
          <w:szCs w:val="24"/>
          <w:lang w:val="en-US" w:eastAsia="zh-CN" w:bidi="ar"/>
        </w:rPr>
        <w:t xml:space="preserve">0.3-0.8m/s </w:t>
      </w:r>
      <w:r>
        <w:rPr>
          <w:rFonts w:ascii="宋体" w:hAnsi="宋体" w:eastAsia="宋体" w:cs="宋体"/>
          <w:b w:val="0"/>
          <w:bCs w:val="0"/>
          <w:color w:val="000000"/>
          <w:kern w:val="0"/>
          <w:sz w:val="24"/>
          <w:szCs w:val="24"/>
          <w:lang w:val="en-US" w:eastAsia="zh-CN" w:bidi="ar"/>
        </w:rPr>
        <w:t>流速范围内：前直管段至少为</w:t>
      </w:r>
      <w:r>
        <w:rPr>
          <w:rFonts w:hint="default" w:ascii="TimesNewRomanPSMT" w:hAnsi="TimesNewRomanPSMT" w:eastAsia="TimesNewRomanPSMT" w:cs="TimesNewRomanPSMT"/>
          <w:b w:val="0"/>
          <w:bCs w:val="0"/>
          <w:color w:val="000000"/>
          <w:kern w:val="0"/>
          <w:sz w:val="24"/>
          <w:szCs w:val="24"/>
          <w:lang w:val="en-US" w:eastAsia="zh-CN" w:bidi="ar"/>
        </w:rPr>
        <w:t>3</w:t>
      </w:r>
      <w:r>
        <w:rPr>
          <w:rFonts w:ascii="宋体" w:hAnsi="宋体" w:eastAsia="宋体" w:cs="宋体"/>
          <w:b w:val="0"/>
          <w:bCs w:val="0"/>
          <w:color w:val="000000"/>
          <w:kern w:val="0"/>
          <w:sz w:val="24"/>
          <w:szCs w:val="24"/>
          <w:lang w:val="en-US" w:eastAsia="zh-CN" w:bidi="ar"/>
        </w:rPr>
        <w:t>倍，后直管段为测箱口径</w:t>
      </w:r>
      <w:r>
        <w:rPr>
          <w:rFonts w:hint="default" w:ascii="TimesNewRomanPSMT" w:hAnsi="TimesNewRomanPSMT" w:eastAsia="TimesNewRomanPSMT" w:cs="TimesNewRomanPSMT"/>
          <w:b w:val="0"/>
          <w:bCs w:val="0"/>
          <w:color w:val="000000"/>
          <w:kern w:val="0"/>
          <w:sz w:val="24"/>
          <w:szCs w:val="24"/>
          <w:lang w:val="en-US" w:eastAsia="zh-CN" w:bidi="ar"/>
        </w:rPr>
        <w:t>2</w:t>
      </w:r>
      <w:r>
        <w:rPr>
          <w:rFonts w:ascii="宋体" w:hAnsi="宋体" w:eastAsia="宋体" w:cs="宋体"/>
          <w:b w:val="0"/>
          <w:bCs w:val="0"/>
          <w:color w:val="000000"/>
          <w:kern w:val="0"/>
          <w:sz w:val="24"/>
          <w:szCs w:val="24"/>
          <w:lang w:val="en-US" w:eastAsia="zh-CN" w:bidi="ar"/>
        </w:rPr>
        <w:t>倍；</w:t>
      </w:r>
      <w:r>
        <w:rPr>
          <w:rFonts w:hint="default" w:ascii="TimesNewRomanPSMT" w:hAnsi="TimesNewRomanPSMT" w:eastAsia="TimesNewRomanPSMT" w:cs="TimesNewRomanPSMT"/>
          <w:b w:val="0"/>
          <w:bCs w:val="0"/>
          <w:color w:val="000000"/>
          <w:kern w:val="0"/>
          <w:sz w:val="24"/>
          <w:szCs w:val="24"/>
          <w:lang w:val="en-US" w:eastAsia="zh-CN" w:bidi="ar"/>
        </w:rPr>
        <w:t xml:space="preserve">0.8-2m/s </w:t>
      </w:r>
      <w:r>
        <w:rPr>
          <w:rFonts w:ascii="宋体" w:hAnsi="宋体" w:eastAsia="宋体" w:cs="宋体"/>
          <w:b w:val="0"/>
          <w:bCs w:val="0"/>
          <w:color w:val="000000"/>
          <w:kern w:val="0"/>
          <w:sz w:val="24"/>
          <w:szCs w:val="24"/>
          <w:lang w:val="en-US" w:eastAsia="zh-CN" w:bidi="ar"/>
        </w:rPr>
        <w:t>流速范围内：前直管段至少为</w:t>
      </w:r>
      <w:r>
        <w:rPr>
          <w:rFonts w:hint="default" w:ascii="TimesNewRomanPSMT" w:hAnsi="TimesNewRomanPSMT" w:eastAsia="TimesNewRomanPSMT" w:cs="TimesNewRomanPSMT"/>
          <w:b w:val="0"/>
          <w:bCs w:val="0"/>
          <w:color w:val="000000"/>
          <w:kern w:val="0"/>
          <w:sz w:val="24"/>
          <w:szCs w:val="24"/>
          <w:lang w:val="en-US" w:eastAsia="zh-CN" w:bidi="ar"/>
        </w:rPr>
        <w:t>4</w:t>
      </w:r>
      <w:r>
        <w:rPr>
          <w:rFonts w:ascii="宋体" w:hAnsi="宋体" w:eastAsia="宋体" w:cs="宋体"/>
          <w:b w:val="0"/>
          <w:bCs w:val="0"/>
          <w:color w:val="000000"/>
          <w:kern w:val="0"/>
          <w:sz w:val="24"/>
          <w:szCs w:val="24"/>
          <w:lang w:val="en-US" w:eastAsia="zh-CN" w:bidi="ar"/>
        </w:rPr>
        <w:t>倍，后直管段为测箱口径</w:t>
      </w:r>
      <w:r>
        <w:rPr>
          <w:rFonts w:hint="default" w:ascii="TimesNewRomanPSMT" w:hAnsi="TimesNewRomanPSMT" w:eastAsia="TimesNewRomanPSMT" w:cs="TimesNewRomanPSMT"/>
          <w:b w:val="0"/>
          <w:bCs w:val="0"/>
          <w:color w:val="000000"/>
          <w:kern w:val="0"/>
          <w:sz w:val="24"/>
          <w:szCs w:val="24"/>
          <w:lang w:val="en-US" w:eastAsia="zh-CN" w:bidi="ar"/>
        </w:rPr>
        <w:t>3</w:t>
      </w:r>
      <w:r>
        <w:rPr>
          <w:rFonts w:ascii="宋体" w:hAnsi="宋体" w:eastAsia="宋体" w:cs="宋体"/>
          <w:b w:val="0"/>
          <w:bCs w:val="0"/>
          <w:color w:val="000000"/>
          <w:kern w:val="0"/>
          <w:sz w:val="24"/>
          <w:szCs w:val="24"/>
          <w:lang w:val="en-US" w:eastAsia="zh-CN" w:bidi="ar"/>
        </w:rPr>
        <w:t>倍；</w:t>
      </w:r>
    </w:p>
    <w:p w14:paraId="2FBB8186">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黑体" w:hAnsi="黑体" w:eastAsia="黑体" w:cs="黑体"/>
          <w:b/>
          <w:bCs/>
          <w:sz w:val="32"/>
          <w:szCs w:val="32"/>
          <w:lang w:val="en-US" w:eastAsia="zh-CN"/>
        </w:rPr>
      </w:pPr>
      <w:r>
        <w:rPr>
          <w:rFonts w:hint="eastAsia" w:ascii="黑体" w:hAnsi="黑体" w:eastAsia="黑体" w:cs="黑体"/>
          <w:b/>
          <w:bCs/>
          <w:sz w:val="32"/>
          <w:szCs w:val="32"/>
          <w:lang w:val="en-US" w:eastAsia="zh-CN"/>
        </w:rPr>
        <w:t>3.3 测量示意图</w:t>
      </w:r>
    </w:p>
    <w:p w14:paraId="45C372D8">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6"/>
          <w:szCs w:val="36"/>
          <w:lang w:val="en-US" w:eastAsia="zh-CN"/>
        </w:rPr>
      </w:pPr>
      <w:r>
        <w:drawing>
          <wp:anchor distT="0" distB="0" distL="114300" distR="114300" simplePos="0" relativeHeight="251664384" behindDoc="1" locked="0" layoutInCell="1" allowOverlap="1">
            <wp:simplePos x="0" y="0"/>
            <wp:positionH relativeFrom="column">
              <wp:posOffset>1477010</wp:posOffset>
            </wp:positionH>
            <wp:positionV relativeFrom="paragraph">
              <wp:posOffset>7620</wp:posOffset>
            </wp:positionV>
            <wp:extent cx="2515870" cy="3754755"/>
            <wp:effectExtent l="0" t="0" r="17780" b="17145"/>
            <wp:wrapTight wrapText="bothSides">
              <wp:wrapPolygon>
                <wp:start x="0" y="0"/>
                <wp:lineTo x="0" y="21479"/>
                <wp:lineTo x="21426" y="21479"/>
                <wp:lineTo x="21426" y="0"/>
                <wp:lineTo x="0" y="0"/>
              </wp:wrapPolygon>
            </wp:wrapTight>
            <wp:docPr id="3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2"/>
                    <pic:cNvPicPr>
                      <a:picLocks noChangeAspect="1"/>
                    </pic:cNvPicPr>
                  </pic:nvPicPr>
                  <pic:blipFill>
                    <a:blip r:embed="rId12"/>
                    <a:stretch>
                      <a:fillRect/>
                    </a:stretch>
                  </pic:blipFill>
                  <pic:spPr>
                    <a:xfrm>
                      <a:off x="0" y="0"/>
                      <a:ext cx="2515870" cy="3754755"/>
                    </a:xfrm>
                    <a:prstGeom prst="rect">
                      <a:avLst/>
                    </a:prstGeom>
                    <a:noFill/>
                    <a:ln>
                      <a:noFill/>
                    </a:ln>
                  </pic:spPr>
                </pic:pic>
              </a:graphicData>
            </a:graphic>
          </wp:anchor>
        </w:drawing>
      </w:r>
    </w:p>
    <w:p w14:paraId="77E8F248">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6"/>
          <w:szCs w:val="36"/>
          <w:lang w:val="en-US" w:eastAsia="zh-CN"/>
        </w:rPr>
      </w:pPr>
    </w:p>
    <w:p w14:paraId="68B0185C">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6"/>
          <w:szCs w:val="36"/>
          <w:lang w:val="en-US" w:eastAsia="zh-CN"/>
        </w:rPr>
      </w:pPr>
    </w:p>
    <w:p w14:paraId="0F286740">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6"/>
          <w:szCs w:val="36"/>
          <w:lang w:val="en-US" w:eastAsia="zh-CN"/>
        </w:rPr>
      </w:pPr>
    </w:p>
    <w:p w14:paraId="25CA2E95">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黑体" w:hAnsi="黑体" w:eastAsia="黑体" w:cs="黑体"/>
          <w:b/>
          <w:bCs/>
          <w:sz w:val="36"/>
          <w:szCs w:val="36"/>
          <w:lang w:val="en-US" w:eastAsia="zh-CN"/>
        </w:rPr>
      </w:pPr>
    </w:p>
    <w:p w14:paraId="64E979F6">
      <w:pPr>
        <w:keepNext w:val="0"/>
        <w:keepLines w:val="0"/>
        <w:pageBreakBefore w:val="0"/>
        <w:widowControl w:val="0"/>
        <w:numPr>
          <w:ilvl w:val="0"/>
          <w:numId w:val="0"/>
        </w:numPr>
        <w:kinsoku/>
        <w:wordWrap/>
        <w:overflowPunct/>
        <w:topLinePunct w:val="0"/>
        <w:autoSpaceDE/>
        <w:autoSpaceDN/>
        <w:bidi w:val="0"/>
        <w:adjustRightInd/>
        <w:snapToGrid/>
        <w:ind w:left="360" w:leftChars="-100" w:hanging="600" w:hangingChars="166"/>
        <w:jc w:val="both"/>
        <w:textAlignment w:val="auto"/>
        <w:rPr>
          <w:rFonts w:hint="eastAsia" w:ascii="黑体" w:hAnsi="黑体" w:eastAsia="黑体" w:cs="黑体"/>
          <w:b/>
          <w:bCs/>
          <w:sz w:val="36"/>
          <w:szCs w:val="36"/>
          <w:lang w:val="en-US" w:eastAsia="zh-CN"/>
        </w:rPr>
      </w:pPr>
    </w:p>
    <w:p w14:paraId="2DFD7065">
      <w:pPr>
        <w:keepNext w:val="0"/>
        <w:keepLines w:val="0"/>
        <w:pageBreakBefore w:val="0"/>
        <w:widowControl w:val="0"/>
        <w:numPr>
          <w:ilvl w:val="0"/>
          <w:numId w:val="0"/>
        </w:numPr>
        <w:kinsoku/>
        <w:wordWrap/>
        <w:overflowPunct/>
        <w:topLinePunct w:val="0"/>
        <w:autoSpaceDE/>
        <w:autoSpaceDN/>
        <w:bidi w:val="0"/>
        <w:adjustRightInd/>
        <w:snapToGrid/>
        <w:ind w:left="360" w:leftChars="-100" w:hanging="600" w:hangingChars="166"/>
        <w:jc w:val="both"/>
        <w:textAlignment w:val="auto"/>
        <w:rPr>
          <w:rFonts w:hint="eastAsia" w:ascii="黑体" w:hAnsi="黑体" w:eastAsia="黑体" w:cs="黑体"/>
          <w:b/>
          <w:bCs/>
          <w:sz w:val="36"/>
          <w:szCs w:val="36"/>
          <w:lang w:val="en-US" w:eastAsia="zh-CN"/>
        </w:rPr>
      </w:pPr>
    </w:p>
    <w:p w14:paraId="06D68B75">
      <w:pPr>
        <w:keepNext w:val="0"/>
        <w:keepLines w:val="0"/>
        <w:pageBreakBefore w:val="0"/>
        <w:widowControl w:val="0"/>
        <w:numPr>
          <w:ilvl w:val="0"/>
          <w:numId w:val="0"/>
        </w:numPr>
        <w:kinsoku/>
        <w:wordWrap/>
        <w:overflowPunct/>
        <w:topLinePunct w:val="0"/>
        <w:autoSpaceDE/>
        <w:autoSpaceDN/>
        <w:bidi w:val="0"/>
        <w:adjustRightInd/>
        <w:snapToGrid/>
        <w:ind w:left="360" w:leftChars="-100" w:hanging="600" w:hangingChars="166"/>
        <w:jc w:val="both"/>
        <w:textAlignment w:val="auto"/>
        <w:rPr>
          <w:rFonts w:hint="eastAsia" w:ascii="黑体" w:hAnsi="黑体" w:eastAsia="黑体" w:cs="黑体"/>
          <w:b/>
          <w:bCs/>
          <w:sz w:val="36"/>
          <w:szCs w:val="36"/>
          <w:lang w:val="en-US" w:eastAsia="zh-CN"/>
        </w:rPr>
      </w:pPr>
    </w:p>
    <w:p w14:paraId="3E76FED3">
      <w:pPr>
        <w:keepNext w:val="0"/>
        <w:keepLines w:val="0"/>
        <w:pageBreakBefore w:val="0"/>
        <w:widowControl w:val="0"/>
        <w:numPr>
          <w:ilvl w:val="0"/>
          <w:numId w:val="0"/>
        </w:numPr>
        <w:kinsoku/>
        <w:wordWrap/>
        <w:overflowPunct/>
        <w:topLinePunct w:val="0"/>
        <w:autoSpaceDE/>
        <w:autoSpaceDN/>
        <w:bidi w:val="0"/>
        <w:adjustRightInd/>
        <w:snapToGrid/>
        <w:ind w:left="360" w:leftChars="-100" w:hanging="600" w:hangingChars="166"/>
        <w:jc w:val="both"/>
        <w:textAlignment w:val="auto"/>
        <w:rPr>
          <w:rFonts w:hint="eastAsia" w:ascii="黑体" w:hAnsi="黑体" w:eastAsia="黑体" w:cs="黑体"/>
          <w:b/>
          <w:bCs/>
          <w:sz w:val="36"/>
          <w:szCs w:val="36"/>
          <w:lang w:val="en-US" w:eastAsia="zh-CN"/>
        </w:rPr>
      </w:pPr>
    </w:p>
    <w:p w14:paraId="19978D88">
      <w:pPr>
        <w:keepNext w:val="0"/>
        <w:keepLines w:val="0"/>
        <w:pageBreakBefore w:val="0"/>
        <w:widowControl w:val="0"/>
        <w:numPr>
          <w:ilvl w:val="0"/>
          <w:numId w:val="0"/>
        </w:numPr>
        <w:kinsoku/>
        <w:wordWrap/>
        <w:overflowPunct/>
        <w:topLinePunct w:val="0"/>
        <w:autoSpaceDE/>
        <w:autoSpaceDN/>
        <w:bidi w:val="0"/>
        <w:adjustRightInd/>
        <w:snapToGrid/>
        <w:ind w:left="360" w:leftChars="-100" w:hanging="600" w:hangingChars="166"/>
        <w:jc w:val="both"/>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p>
    <w:p w14:paraId="482A6107">
      <w:pPr>
        <w:keepNext w:val="0"/>
        <w:keepLines w:val="0"/>
        <w:pageBreakBefore w:val="0"/>
        <w:widowControl w:val="0"/>
        <w:numPr>
          <w:ilvl w:val="0"/>
          <w:numId w:val="0"/>
        </w:numPr>
        <w:kinsoku/>
        <w:wordWrap/>
        <w:overflowPunct/>
        <w:topLinePunct w:val="0"/>
        <w:autoSpaceDE/>
        <w:autoSpaceDN/>
        <w:bidi w:val="0"/>
        <w:adjustRightInd/>
        <w:snapToGrid/>
        <w:ind w:left="240" w:leftChars="100" w:firstLine="3914" w:firstLineChars="1631"/>
        <w:jc w:val="both"/>
        <w:textAlignment w:val="auto"/>
        <w:rPr>
          <w:rFonts w:hint="eastAsia" w:ascii="黑体" w:hAnsi="黑体" w:eastAsia="黑体" w:cs="黑体"/>
          <w:b/>
          <w:bCs/>
          <w:sz w:val="36"/>
          <w:szCs w:val="36"/>
          <w:lang w:val="en-US" w:eastAsia="zh-CN"/>
        </w:rPr>
      </w:pPr>
      <w:r>
        <w:rPr>
          <w:rFonts w:hint="eastAsia" w:ascii="宋体" w:hAnsi="宋体" w:eastAsia="宋体" w:cs="宋体"/>
          <w:b w:val="0"/>
          <w:bCs w:val="0"/>
          <w:color w:val="000000"/>
          <w:kern w:val="0"/>
          <w:sz w:val="24"/>
          <w:szCs w:val="24"/>
          <w:lang w:val="en-US" w:eastAsia="zh-CN" w:bidi="ar"/>
        </w:rPr>
        <w:t>图8</w:t>
      </w:r>
    </w:p>
    <w:p w14:paraId="54CFB56F">
      <w:pPr>
        <w:keepNext w:val="0"/>
        <w:keepLines w:val="0"/>
        <w:pageBreakBefore w:val="0"/>
        <w:widowControl w:val="0"/>
        <w:numPr>
          <w:ilvl w:val="0"/>
          <w:numId w:val="0"/>
        </w:numPr>
        <w:kinsoku/>
        <w:wordWrap/>
        <w:overflowPunct/>
        <w:topLinePunct w:val="0"/>
        <w:autoSpaceDE/>
        <w:autoSpaceDN/>
        <w:bidi w:val="0"/>
        <w:adjustRightInd/>
        <w:snapToGrid/>
        <w:ind w:left="360" w:leftChars="-100" w:hanging="600" w:hangingChars="166"/>
        <w:jc w:val="both"/>
        <w:textAlignment w:val="auto"/>
        <w:rPr>
          <w:rFonts w:ascii="宋体" w:hAnsi="宋体" w:eastAsia="宋体" w:cs="宋体"/>
          <w:sz w:val="24"/>
          <w:szCs w:val="24"/>
        </w:rPr>
      </w:pPr>
      <w:r>
        <w:rPr>
          <w:rFonts w:hint="eastAsia" w:ascii="黑体" w:hAnsi="黑体" w:eastAsia="黑体" w:cs="黑体"/>
          <w:b/>
          <w:bCs/>
          <w:sz w:val="36"/>
          <w:szCs w:val="36"/>
          <w:lang w:val="en-US" w:eastAsia="zh-CN"/>
        </w:rPr>
        <w:t>第四章 通信协议</w:t>
      </w:r>
    </w:p>
    <w:p w14:paraId="3E67C714">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黑体" w:hAnsi="黑体" w:eastAsia="黑体" w:cs="黑体"/>
          <w:b/>
          <w:bCs/>
          <w:sz w:val="32"/>
          <w:szCs w:val="32"/>
          <w:lang w:val="en-US" w:eastAsia="zh-CN"/>
        </w:rPr>
      </w:pPr>
      <w:bookmarkStart w:id="1" w:name="_Toc16141"/>
      <w:r>
        <w:rPr>
          <w:rFonts w:hint="eastAsia" w:ascii="黑体" w:hAnsi="黑体" w:eastAsia="黑体" w:cs="黑体"/>
          <w:b/>
          <w:bCs/>
          <w:sz w:val="32"/>
          <w:szCs w:val="32"/>
          <w:lang w:val="en-US" w:eastAsia="zh-CN"/>
        </w:rPr>
        <w:t>4.1通讯基本参数</w:t>
      </w:r>
      <w:bookmarkEnd w:id="1"/>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09"/>
        <w:gridCol w:w="5124"/>
      </w:tblGrid>
      <w:tr w14:paraId="0D84A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09" w:type="dxa"/>
            <w:shd w:val="clear" w:color="auto" w:fill="auto"/>
            <w:noWrap w:val="0"/>
            <w:vAlign w:val="center"/>
          </w:tcPr>
          <w:p w14:paraId="73A98CD3">
            <w:pPr>
              <w:rPr>
                <w:bCs/>
                <w:color w:val="000000"/>
              </w:rPr>
            </w:pPr>
            <w:r>
              <w:rPr>
                <w:bCs/>
                <w:color w:val="000000"/>
              </w:rPr>
              <w:t>参数</w:t>
            </w:r>
          </w:p>
        </w:tc>
        <w:tc>
          <w:tcPr>
            <w:tcW w:w="5124" w:type="dxa"/>
            <w:shd w:val="clear" w:color="auto" w:fill="auto"/>
            <w:noWrap w:val="0"/>
            <w:vAlign w:val="center"/>
          </w:tcPr>
          <w:p w14:paraId="1B30DFCA">
            <w:pPr>
              <w:rPr>
                <w:bCs/>
                <w:color w:val="000000"/>
              </w:rPr>
            </w:pPr>
            <w:r>
              <w:rPr>
                <w:bCs/>
                <w:color w:val="000000"/>
              </w:rPr>
              <w:t>内容</w:t>
            </w:r>
          </w:p>
        </w:tc>
      </w:tr>
      <w:tr w14:paraId="0B84B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09" w:type="dxa"/>
            <w:shd w:val="clear" w:color="auto" w:fill="auto"/>
            <w:noWrap w:val="0"/>
            <w:vAlign w:val="center"/>
          </w:tcPr>
          <w:p w14:paraId="3D753BCA">
            <w:pPr>
              <w:rPr>
                <w:bCs/>
                <w:color w:val="000000"/>
              </w:rPr>
            </w:pPr>
            <w:r>
              <w:rPr>
                <w:bCs/>
                <w:color w:val="000000"/>
              </w:rPr>
              <w:t>编码</w:t>
            </w:r>
          </w:p>
        </w:tc>
        <w:tc>
          <w:tcPr>
            <w:tcW w:w="5124" w:type="dxa"/>
            <w:shd w:val="clear" w:color="auto" w:fill="auto"/>
            <w:noWrap w:val="0"/>
            <w:vAlign w:val="center"/>
          </w:tcPr>
          <w:p w14:paraId="3866BE5E">
            <w:pPr>
              <w:rPr>
                <w:bCs/>
                <w:color w:val="000000"/>
              </w:rPr>
            </w:pPr>
            <w:r>
              <w:rPr>
                <w:bCs/>
                <w:color w:val="000000"/>
              </w:rPr>
              <w:t>8位二进制</w:t>
            </w:r>
          </w:p>
        </w:tc>
      </w:tr>
      <w:tr w14:paraId="69F86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09" w:type="dxa"/>
            <w:shd w:val="clear" w:color="auto" w:fill="auto"/>
            <w:noWrap w:val="0"/>
            <w:vAlign w:val="center"/>
          </w:tcPr>
          <w:p w14:paraId="359B307B">
            <w:pPr>
              <w:rPr>
                <w:bCs/>
                <w:color w:val="000000"/>
              </w:rPr>
            </w:pPr>
            <w:r>
              <w:rPr>
                <w:bCs/>
                <w:color w:val="000000"/>
              </w:rPr>
              <w:t>数据位</w:t>
            </w:r>
          </w:p>
        </w:tc>
        <w:tc>
          <w:tcPr>
            <w:tcW w:w="5124" w:type="dxa"/>
            <w:shd w:val="clear" w:color="auto" w:fill="auto"/>
            <w:noWrap w:val="0"/>
            <w:vAlign w:val="center"/>
          </w:tcPr>
          <w:p w14:paraId="6C962C34">
            <w:pPr>
              <w:rPr>
                <w:bCs/>
                <w:color w:val="000000"/>
              </w:rPr>
            </w:pPr>
            <w:r>
              <w:rPr>
                <w:bCs/>
                <w:color w:val="000000"/>
              </w:rPr>
              <w:t>8位</w:t>
            </w:r>
          </w:p>
        </w:tc>
      </w:tr>
      <w:tr w14:paraId="74BB5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09" w:type="dxa"/>
            <w:shd w:val="clear" w:color="auto" w:fill="auto"/>
            <w:noWrap w:val="0"/>
            <w:vAlign w:val="center"/>
          </w:tcPr>
          <w:p w14:paraId="653B0B0D">
            <w:pPr>
              <w:rPr>
                <w:bCs/>
                <w:color w:val="000000"/>
              </w:rPr>
            </w:pPr>
            <w:r>
              <w:rPr>
                <w:bCs/>
                <w:color w:val="000000"/>
              </w:rPr>
              <w:t>奇偶校验位</w:t>
            </w:r>
          </w:p>
        </w:tc>
        <w:tc>
          <w:tcPr>
            <w:tcW w:w="5124" w:type="dxa"/>
            <w:shd w:val="clear" w:color="auto" w:fill="auto"/>
            <w:noWrap w:val="0"/>
            <w:vAlign w:val="center"/>
          </w:tcPr>
          <w:p w14:paraId="69257EA7">
            <w:pPr>
              <w:rPr>
                <w:bCs/>
                <w:color w:val="000000"/>
              </w:rPr>
            </w:pPr>
            <w:r>
              <w:rPr>
                <w:bCs/>
                <w:color w:val="000000"/>
              </w:rPr>
              <w:t>无</w:t>
            </w:r>
          </w:p>
        </w:tc>
      </w:tr>
      <w:tr w14:paraId="4E130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09" w:type="dxa"/>
            <w:shd w:val="clear" w:color="auto" w:fill="auto"/>
            <w:noWrap w:val="0"/>
            <w:vAlign w:val="center"/>
          </w:tcPr>
          <w:p w14:paraId="79EC5381">
            <w:pPr>
              <w:rPr>
                <w:bCs/>
                <w:color w:val="000000"/>
              </w:rPr>
            </w:pPr>
            <w:r>
              <w:rPr>
                <w:bCs/>
                <w:color w:val="000000"/>
              </w:rPr>
              <w:t>停止位</w:t>
            </w:r>
          </w:p>
        </w:tc>
        <w:tc>
          <w:tcPr>
            <w:tcW w:w="5124" w:type="dxa"/>
            <w:shd w:val="clear" w:color="auto" w:fill="auto"/>
            <w:noWrap w:val="0"/>
            <w:vAlign w:val="center"/>
          </w:tcPr>
          <w:p w14:paraId="3B306091">
            <w:pPr>
              <w:rPr>
                <w:bCs/>
                <w:color w:val="000000"/>
              </w:rPr>
            </w:pPr>
            <w:r>
              <w:rPr>
                <w:bCs/>
                <w:color w:val="000000"/>
              </w:rPr>
              <w:t>1位</w:t>
            </w:r>
          </w:p>
        </w:tc>
      </w:tr>
      <w:tr w14:paraId="3328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09" w:type="dxa"/>
            <w:shd w:val="clear" w:color="auto" w:fill="auto"/>
            <w:noWrap w:val="0"/>
            <w:vAlign w:val="center"/>
          </w:tcPr>
          <w:p w14:paraId="7F3B97C4">
            <w:pPr>
              <w:rPr>
                <w:bCs/>
                <w:color w:val="000000"/>
              </w:rPr>
            </w:pPr>
            <w:r>
              <w:rPr>
                <w:bCs/>
                <w:color w:val="000000"/>
              </w:rPr>
              <w:t>错误校准</w:t>
            </w:r>
          </w:p>
        </w:tc>
        <w:tc>
          <w:tcPr>
            <w:tcW w:w="5124" w:type="dxa"/>
            <w:shd w:val="clear" w:color="auto" w:fill="auto"/>
            <w:noWrap w:val="0"/>
            <w:vAlign w:val="center"/>
          </w:tcPr>
          <w:p w14:paraId="69ECEAC0">
            <w:pPr>
              <w:rPr>
                <w:bCs/>
                <w:color w:val="000000"/>
              </w:rPr>
            </w:pPr>
            <w:r>
              <w:rPr>
                <w:bCs/>
                <w:color w:val="000000"/>
              </w:rPr>
              <w:t>CRC冗长循环码</w:t>
            </w:r>
          </w:p>
        </w:tc>
      </w:tr>
      <w:tr w14:paraId="2863D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09" w:type="dxa"/>
            <w:shd w:val="clear" w:color="auto" w:fill="auto"/>
            <w:noWrap w:val="0"/>
            <w:vAlign w:val="center"/>
          </w:tcPr>
          <w:p w14:paraId="4EBC826C">
            <w:pPr>
              <w:rPr>
                <w:bCs/>
                <w:color w:val="000000"/>
              </w:rPr>
            </w:pPr>
            <w:r>
              <w:rPr>
                <w:bCs/>
                <w:color w:val="000000"/>
              </w:rPr>
              <w:t>波特率</w:t>
            </w:r>
          </w:p>
        </w:tc>
        <w:tc>
          <w:tcPr>
            <w:tcW w:w="5124" w:type="dxa"/>
            <w:shd w:val="clear" w:color="auto" w:fill="auto"/>
            <w:noWrap w:val="0"/>
            <w:vAlign w:val="center"/>
          </w:tcPr>
          <w:p w14:paraId="11B1092A">
            <w:pPr>
              <w:rPr>
                <w:bCs/>
                <w:color w:val="000000"/>
              </w:rPr>
            </w:pPr>
            <w:r>
              <w:rPr>
                <w:bCs/>
                <w:color w:val="000000"/>
              </w:rPr>
              <w:t>2400bps</w:t>
            </w:r>
            <w:r>
              <w:rPr>
                <w:rFonts w:hint="eastAsia"/>
                <w:bCs/>
                <w:color w:val="000000"/>
              </w:rPr>
              <w:t>/</w:t>
            </w:r>
            <w:r>
              <w:rPr>
                <w:bCs/>
                <w:color w:val="000000"/>
              </w:rPr>
              <w:t>4800bps</w:t>
            </w:r>
            <w:r>
              <w:rPr>
                <w:rFonts w:hint="eastAsia"/>
                <w:bCs/>
                <w:color w:val="000000"/>
              </w:rPr>
              <w:t>/</w:t>
            </w:r>
            <w:r>
              <w:rPr>
                <w:bCs/>
                <w:color w:val="000000"/>
              </w:rPr>
              <w:t>9600bps可设，出厂默认为9600bps</w:t>
            </w:r>
          </w:p>
        </w:tc>
      </w:tr>
    </w:tbl>
    <w:p w14:paraId="1DDD023D">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Times New Roman" w:hAnsi="Times New Roman" w:eastAsia="宋体" w:cs="Times New Roman"/>
          <w:color w:val="000000"/>
          <w:kern w:val="2"/>
          <w:sz w:val="24"/>
          <w:lang w:val="en-US" w:eastAsia="zh-CN" w:bidi="ar-SA"/>
        </w:rPr>
      </w:pPr>
      <w:bookmarkStart w:id="2" w:name="_Toc8306"/>
      <w:r>
        <w:rPr>
          <w:rFonts w:hint="eastAsia" w:ascii="黑体" w:hAnsi="黑体" w:eastAsia="黑体" w:cs="黑体"/>
          <w:b/>
          <w:bCs/>
          <w:sz w:val="32"/>
          <w:szCs w:val="32"/>
          <w:lang w:val="en-US" w:eastAsia="zh-CN"/>
        </w:rPr>
        <w:t xml:space="preserve">                         </w:t>
      </w:r>
      <w:r>
        <w:rPr>
          <w:rFonts w:hint="eastAsia" w:ascii="Times New Roman" w:hAnsi="Times New Roman" w:eastAsia="宋体" w:cs="Times New Roman"/>
          <w:color w:val="000000"/>
          <w:kern w:val="2"/>
          <w:sz w:val="24"/>
          <w:lang w:val="en-US" w:eastAsia="zh-CN" w:bidi="ar-SA"/>
        </w:rPr>
        <w:t xml:space="preserve">   表4</w:t>
      </w:r>
    </w:p>
    <w:p w14:paraId="291658C1">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4.2数据帧格式定义</w:t>
      </w:r>
      <w:bookmarkEnd w:id="2"/>
    </w:p>
    <w:p w14:paraId="0C052EFF">
      <w:pPr>
        <w:pStyle w:val="3"/>
        <w:rPr>
          <w:color w:val="000000"/>
        </w:rPr>
      </w:pPr>
      <w:r>
        <w:rPr>
          <w:color w:val="000000"/>
        </w:rPr>
        <w:t>采用Modbus-RTU通讯规约，格式如下：</w:t>
      </w:r>
    </w:p>
    <w:p w14:paraId="0A251735">
      <w:pPr>
        <w:pStyle w:val="3"/>
        <w:rPr>
          <w:color w:val="000000"/>
        </w:rPr>
      </w:pPr>
      <w:r>
        <w:rPr>
          <w:color w:val="000000"/>
        </w:rPr>
        <w:t>初始结构≥4字节的时间</w:t>
      </w:r>
    </w:p>
    <w:p w14:paraId="19AA9725">
      <w:pPr>
        <w:pStyle w:val="3"/>
        <w:rPr>
          <w:color w:val="000000"/>
        </w:rPr>
      </w:pPr>
      <w:r>
        <w:rPr>
          <w:color w:val="000000"/>
        </w:rPr>
        <w:t>地址码=1字节</w:t>
      </w:r>
    </w:p>
    <w:p w14:paraId="751B71F0">
      <w:pPr>
        <w:pStyle w:val="3"/>
        <w:rPr>
          <w:color w:val="000000"/>
        </w:rPr>
      </w:pPr>
      <w:r>
        <w:rPr>
          <w:color w:val="000000"/>
        </w:rPr>
        <w:t>功能码=1字节</w:t>
      </w:r>
    </w:p>
    <w:p w14:paraId="57496E89">
      <w:pPr>
        <w:pStyle w:val="3"/>
        <w:rPr>
          <w:color w:val="000000"/>
        </w:rPr>
      </w:pPr>
      <w:r>
        <w:rPr>
          <w:color w:val="000000"/>
        </w:rPr>
        <w:t>数据区=N字节</w:t>
      </w:r>
    </w:p>
    <w:p w14:paraId="0369BDAB">
      <w:pPr>
        <w:pStyle w:val="3"/>
        <w:rPr>
          <w:color w:val="000000"/>
        </w:rPr>
      </w:pPr>
      <w:r>
        <w:rPr>
          <w:color w:val="000000"/>
        </w:rPr>
        <w:t>错误校验=16位CRC码</w:t>
      </w:r>
    </w:p>
    <w:p w14:paraId="4BA19B37">
      <w:pPr>
        <w:pStyle w:val="3"/>
        <w:rPr>
          <w:color w:val="000000"/>
        </w:rPr>
      </w:pPr>
      <w:r>
        <w:rPr>
          <w:color w:val="000000"/>
        </w:rPr>
        <w:t>结束结构≥4字节的时间</w:t>
      </w:r>
    </w:p>
    <w:p w14:paraId="639281D0">
      <w:pPr>
        <w:pStyle w:val="3"/>
        <w:rPr>
          <w:color w:val="000000"/>
        </w:rPr>
      </w:pPr>
      <w:r>
        <w:rPr>
          <w:color w:val="000000"/>
        </w:rPr>
        <w:t>地址码：为变送器的功能指示，本变送器只用到功能码0x03（读取寄存器数据）。</w:t>
      </w:r>
    </w:p>
    <w:p w14:paraId="3E1DD458">
      <w:pPr>
        <w:pStyle w:val="3"/>
        <w:rPr>
          <w:color w:val="000000"/>
        </w:rPr>
      </w:pPr>
      <w:r>
        <w:rPr>
          <w:color w:val="000000"/>
        </w:rPr>
        <w:t>数据区：数据区是具体地址，在通讯网络中是唯一的（出厂默认0x01）。</w:t>
      </w:r>
    </w:p>
    <w:p w14:paraId="7F026257">
      <w:pPr>
        <w:pStyle w:val="3"/>
        <w:rPr>
          <w:color w:val="000000"/>
        </w:rPr>
      </w:pPr>
      <w:r>
        <w:rPr>
          <w:color w:val="000000"/>
        </w:rPr>
        <w:t>功能码：主机所发指令通讯数据，注意16bits数据高字节在前！</w:t>
      </w:r>
    </w:p>
    <w:p w14:paraId="73EA874B">
      <w:pPr>
        <w:pStyle w:val="3"/>
        <w:rPr>
          <w:color w:val="000000"/>
        </w:rPr>
      </w:pPr>
      <w:r>
        <w:rPr>
          <w:color w:val="000000"/>
        </w:rPr>
        <w:t>CRC码：二字节的校验码。</w:t>
      </w:r>
    </w:p>
    <w:p w14:paraId="00B61E0C">
      <w:pPr>
        <w:pStyle w:val="3"/>
        <w:rPr>
          <w:rFonts w:hint="eastAsia"/>
          <w:color w:val="000000"/>
          <w:lang w:eastAsia="zh-CN"/>
        </w:rPr>
      </w:pPr>
      <w:r>
        <w:rPr>
          <w:color w:val="000000"/>
        </w:rPr>
        <w:t>问询帧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992"/>
        <w:gridCol w:w="992"/>
        <w:gridCol w:w="1255"/>
        <w:gridCol w:w="1297"/>
        <w:gridCol w:w="1121"/>
      </w:tblGrid>
      <w:tr w14:paraId="2A86C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5290D89A">
            <w:pPr>
              <w:rPr>
                <w:color w:val="000000"/>
              </w:rPr>
            </w:pPr>
            <w:r>
              <w:rPr>
                <w:color w:val="000000"/>
              </w:rPr>
              <w:t>校验码低位</w:t>
            </w:r>
          </w:p>
        </w:tc>
        <w:tc>
          <w:tcPr>
            <w:tcW w:w="992" w:type="dxa"/>
            <w:noWrap w:val="0"/>
            <w:vAlign w:val="center"/>
          </w:tcPr>
          <w:p w14:paraId="1DEBA45E">
            <w:pPr>
              <w:rPr>
                <w:color w:val="000000"/>
              </w:rPr>
            </w:pPr>
            <w:r>
              <w:rPr>
                <w:color w:val="000000"/>
              </w:rPr>
              <w:t>地址码</w:t>
            </w:r>
          </w:p>
        </w:tc>
        <w:tc>
          <w:tcPr>
            <w:tcW w:w="992" w:type="dxa"/>
            <w:noWrap w:val="0"/>
            <w:vAlign w:val="center"/>
          </w:tcPr>
          <w:p w14:paraId="16651B3B">
            <w:pPr>
              <w:rPr>
                <w:color w:val="000000"/>
              </w:rPr>
            </w:pPr>
            <w:r>
              <w:rPr>
                <w:color w:val="000000"/>
              </w:rPr>
              <w:t>功能码</w:t>
            </w:r>
          </w:p>
        </w:tc>
        <w:tc>
          <w:tcPr>
            <w:tcW w:w="1255" w:type="dxa"/>
            <w:noWrap w:val="0"/>
            <w:vAlign w:val="center"/>
          </w:tcPr>
          <w:p w14:paraId="5130AA38">
            <w:pPr>
              <w:rPr>
                <w:color w:val="000000"/>
              </w:rPr>
            </w:pPr>
            <w:r>
              <w:rPr>
                <w:color w:val="000000"/>
              </w:rPr>
              <w:t>寄存器起始地址</w:t>
            </w:r>
          </w:p>
        </w:tc>
        <w:tc>
          <w:tcPr>
            <w:tcW w:w="1297" w:type="dxa"/>
            <w:noWrap w:val="0"/>
            <w:vAlign w:val="center"/>
          </w:tcPr>
          <w:p w14:paraId="548C2BD8">
            <w:pPr>
              <w:rPr>
                <w:color w:val="000000"/>
              </w:rPr>
            </w:pPr>
            <w:r>
              <w:rPr>
                <w:color w:val="000000"/>
              </w:rPr>
              <w:t>寄存器长度</w:t>
            </w:r>
          </w:p>
        </w:tc>
        <w:tc>
          <w:tcPr>
            <w:tcW w:w="1121" w:type="dxa"/>
            <w:noWrap w:val="0"/>
            <w:vAlign w:val="center"/>
          </w:tcPr>
          <w:p w14:paraId="4C4EF174">
            <w:pPr>
              <w:rPr>
                <w:color w:val="000000"/>
              </w:rPr>
            </w:pPr>
            <w:r>
              <w:rPr>
                <w:color w:val="000000"/>
              </w:rPr>
              <w:t>校验码高位</w:t>
            </w:r>
          </w:p>
        </w:tc>
      </w:tr>
      <w:tr w14:paraId="5A0C0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0D5D86E8">
            <w:pPr>
              <w:rPr>
                <w:color w:val="000000"/>
              </w:rPr>
            </w:pPr>
            <w:r>
              <w:rPr>
                <w:color w:val="000000"/>
              </w:rPr>
              <w:t>1字节</w:t>
            </w:r>
          </w:p>
        </w:tc>
        <w:tc>
          <w:tcPr>
            <w:tcW w:w="992" w:type="dxa"/>
            <w:noWrap w:val="0"/>
            <w:vAlign w:val="center"/>
          </w:tcPr>
          <w:p w14:paraId="34CCA456">
            <w:pPr>
              <w:rPr>
                <w:color w:val="000000"/>
              </w:rPr>
            </w:pPr>
            <w:r>
              <w:rPr>
                <w:color w:val="000000"/>
              </w:rPr>
              <w:t>1字节</w:t>
            </w:r>
          </w:p>
        </w:tc>
        <w:tc>
          <w:tcPr>
            <w:tcW w:w="992" w:type="dxa"/>
            <w:noWrap w:val="0"/>
            <w:vAlign w:val="center"/>
          </w:tcPr>
          <w:p w14:paraId="183D8E30">
            <w:pPr>
              <w:rPr>
                <w:color w:val="000000"/>
              </w:rPr>
            </w:pPr>
            <w:r>
              <w:rPr>
                <w:color w:val="000000"/>
              </w:rPr>
              <w:t>1字节</w:t>
            </w:r>
          </w:p>
        </w:tc>
        <w:tc>
          <w:tcPr>
            <w:tcW w:w="1255" w:type="dxa"/>
            <w:noWrap w:val="0"/>
            <w:vAlign w:val="center"/>
          </w:tcPr>
          <w:p w14:paraId="0BA88EE6">
            <w:pPr>
              <w:rPr>
                <w:color w:val="000000"/>
              </w:rPr>
            </w:pPr>
            <w:r>
              <w:rPr>
                <w:color w:val="000000"/>
              </w:rPr>
              <w:t>2字节</w:t>
            </w:r>
          </w:p>
        </w:tc>
        <w:tc>
          <w:tcPr>
            <w:tcW w:w="1297" w:type="dxa"/>
            <w:noWrap w:val="0"/>
            <w:vAlign w:val="center"/>
          </w:tcPr>
          <w:p w14:paraId="17EBC3FC">
            <w:pPr>
              <w:rPr>
                <w:color w:val="000000"/>
              </w:rPr>
            </w:pPr>
            <w:r>
              <w:rPr>
                <w:color w:val="000000"/>
              </w:rPr>
              <w:t>2字节</w:t>
            </w:r>
          </w:p>
        </w:tc>
        <w:tc>
          <w:tcPr>
            <w:tcW w:w="1121" w:type="dxa"/>
            <w:noWrap w:val="0"/>
            <w:vAlign w:val="center"/>
          </w:tcPr>
          <w:p w14:paraId="13F572C4">
            <w:pPr>
              <w:rPr>
                <w:color w:val="000000"/>
              </w:rPr>
            </w:pPr>
            <w:r>
              <w:rPr>
                <w:color w:val="000000"/>
              </w:rPr>
              <w:t>1字节</w:t>
            </w:r>
          </w:p>
        </w:tc>
      </w:tr>
    </w:tbl>
    <w:p w14:paraId="4A76F78C">
      <w:pPr>
        <w:pStyle w:val="3"/>
        <w:rPr>
          <w:rFonts w:hint="eastAsia"/>
          <w:color w:val="000000"/>
          <w:lang w:eastAsia="zh-CN"/>
        </w:rPr>
      </w:pPr>
      <w:r>
        <w:rPr>
          <w:color w:val="000000"/>
        </w:rPr>
        <w:t>应答帧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992"/>
        <w:gridCol w:w="992"/>
        <w:gridCol w:w="1276"/>
        <w:gridCol w:w="982"/>
        <w:gridCol w:w="1415"/>
      </w:tblGrid>
      <w:tr w14:paraId="46CF1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top"/>
          </w:tcPr>
          <w:p w14:paraId="7AD6D803">
            <w:pPr>
              <w:rPr>
                <w:color w:val="000000"/>
              </w:rPr>
            </w:pPr>
            <w:r>
              <w:rPr>
                <w:color w:val="000000"/>
              </w:rPr>
              <w:t>地址码</w:t>
            </w:r>
          </w:p>
        </w:tc>
        <w:tc>
          <w:tcPr>
            <w:tcW w:w="992" w:type="dxa"/>
            <w:noWrap w:val="0"/>
            <w:vAlign w:val="top"/>
          </w:tcPr>
          <w:p w14:paraId="09D35F99">
            <w:pPr>
              <w:rPr>
                <w:color w:val="000000"/>
              </w:rPr>
            </w:pPr>
            <w:r>
              <w:rPr>
                <w:color w:val="000000"/>
              </w:rPr>
              <w:t>功能码</w:t>
            </w:r>
          </w:p>
        </w:tc>
        <w:tc>
          <w:tcPr>
            <w:tcW w:w="992" w:type="dxa"/>
            <w:noWrap w:val="0"/>
            <w:vAlign w:val="top"/>
          </w:tcPr>
          <w:p w14:paraId="10448EEB">
            <w:pPr>
              <w:rPr>
                <w:color w:val="000000"/>
              </w:rPr>
            </w:pPr>
            <w:r>
              <w:rPr>
                <w:color w:val="000000"/>
              </w:rPr>
              <w:t>有效字节数1</w:t>
            </w:r>
          </w:p>
        </w:tc>
        <w:tc>
          <w:tcPr>
            <w:tcW w:w="1276" w:type="dxa"/>
            <w:noWrap w:val="0"/>
            <w:vAlign w:val="top"/>
          </w:tcPr>
          <w:p w14:paraId="6135310D">
            <w:pPr>
              <w:rPr>
                <w:color w:val="000000"/>
              </w:rPr>
            </w:pPr>
            <w:r>
              <w:rPr>
                <w:color w:val="000000"/>
              </w:rPr>
              <w:t>第一数据区</w:t>
            </w:r>
          </w:p>
        </w:tc>
        <w:tc>
          <w:tcPr>
            <w:tcW w:w="982" w:type="dxa"/>
            <w:noWrap w:val="0"/>
            <w:vAlign w:val="top"/>
          </w:tcPr>
          <w:p w14:paraId="54B9D27A">
            <w:pPr>
              <w:rPr>
                <w:color w:val="000000"/>
              </w:rPr>
            </w:pPr>
            <w:r>
              <w:rPr>
                <w:color w:val="000000"/>
              </w:rPr>
              <w:t>第二数据区</w:t>
            </w:r>
          </w:p>
        </w:tc>
        <w:tc>
          <w:tcPr>
            <w:tcW w:w="1415" w:type="dxa"/>
            <w:noWrap w:val="0"/>
            <w:vAlign w:val="top"/>
          </w:tcPr>
          <w:p w14:paraId="2892755B">
            <w:pPr>
              <w:rPr>
                <w:color w:val="000000"/>
              </w:rPr>
            </w:pPr>
            <w:r>
              <w:rPr>
                <w:color w:val="000000"/>
              </w:rPr>
              <w:t>第N数据区</w:t>
            </w:r>
          </w:p>
        </w:tc>
      </w:tr>
      <w:tr w14:paraId="348AE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top"/>
          </w:tcPr>
          <w:p w14:paraId="603B81DC">
            <w:pPr>
              <w:rPr>
                <w:color w:val="000000"/>
              </w:rPr>
            </w:pPr>
            <w:r>
              <w:rPr>
                <w:color w:val="000000"/>
              </w:rPr>
              <w:t>1字节</w:t>
            </w:r>
          </w:p>
        </w:tc>
        <w:tc>
          <w:tcPr>
            <w:tcW w:w="992" w:type="dxa"/>
            <w:noWrap w:val="0"/>
            <w:vAlign w:val="top"/>
          </w:tcPr>
          <w:p w14:paraId="4A11B6B7">
            <w:pPr>
              <w:rPr>
                <w:color w:val="000000"/>
              </w:rPr>
            </w:pPr>
            <w:r>
              <w:rPr>
                <w:color w:val="000000"/>
              </w:rPr>
              <w:t>1字节</w:t>
            </w:r>
          </w:p>
        </w:tc>
        <w:tc>
          <w:tcPr>
            <w:tcW w:w="992" w:type="dxa"/>
            <w:noWrap w:val="0"/>
            <w:vAlign w:val="top"/>
          </w:tcPr>
          <w:p w14:paraId="4DD13BBB">
            <w:pPr>
              <w:rPr>
                <w:color w:val="000000"/>
              </w:rPr>
            </w:pPr>
            <w:r>
              <w:rPr>
                <w:color w:val="000000"/>
              </w:rPr>
              <w:t>2字节</w:t>
            </w:r>
          </w:p>
        </w:tc>
        <w:tc>
          <w:tcPr>
            <w:tcW w:w="1276" w:type="dxa"/>
            <w:noWrap w:val="0"/>
            <w:vAlign w:val="top"/>
          </w:tcPr>
          <w:p w14:paraId="4955FCE4">
            <w:pPr>
              <w:rPr>
                <w:color w:val="000000"/>
              </w:rPr>
            </w:pPr>
            <w:r>
              <w:rPr>
                <w:color w:val="000000"/>
              </w:rPr>
              <w:t>2字节</w:t>
            </w:r>
          </w:p>
        </w:tc>
        <w:tc>
          <w:tcPr>
            <w:tcW w:w="982" w:type="dxa"/>
            <w:noWrap w:val="0"/>
            <w:vAlign w:val="top"/>
          </w:tcPr>
          <w:p w14:paraId="3D22F13C">
            <w:pPr>
              <w:rPr>
                <w:color w:val="000000"/>
              </w:rPr>
            </w:pPr>
            <w:r>
              <w:rPr>
                <w:color w:val="000000"/>
              </w:rPr>
              <w:t>2字节</w:t>
            </w:r>
          </w:p>
        </w:tc>
        <w:tc>
          <w:tcPr>
            <w:tcW w:w="1415" w:type="dxa"/>
            <w:noWrap w:val="0"/>
            <w:vAlign w:val="top"/>
          </w:tcPr>
          <w:p w14:paraId="6E9A48EE">
            <w:pPr>
              <w:rPr>
                <w:color w:val="000000"/>
              </w:rPr>
            </w:pPr>
            <w:r>
              <w:rPr>
                <w:color w:val="000000"/>
              </w:rPr>
              <w:t>2字节</w:t>
            </w:r>
          </w:p>
        </w:tc>
      </w:tr>
    </w:tbl>
    <w:p w14:paraId="23B33B0F">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黑体" w:hAnsi="黑体" w:eastAsia="黑体" w:cs="黑体"/>
          <w:b/>
          <w:bCs/>
          <w:sz w:val="32"/>
          <w:szCs w:val="32"/>
          <w:lang w:val="en-US" w:eastAsia="zh-CN"/>
        </w:rPr>
      </w:pPr>
      <w:bookmarkStart w:id="3" w:name="_Toc15907"/>
      <w:r>
        <w:rPr>
          <w:rFonts w:hint="eastAsia" w:ascii="黑体" w:hAnsi="黑体" w:eastAsia="黑体" w:cs="黑体"/>
          <w:b/>
          <w:bCs/>
          <w:sz w:val="32"/>
          <w:szCs w:val="32"/>
          <w:lang w:val="en-US" w:eastAsia="zh-CN"/>
        </w:rPr>
        <w:t xml:space="preserve">                            </w:t>
      </w:r>
      <w:r>
        <w:rPr>
          <w:rFonts w:hint="eastAsia" w:ascii="Times New Roman" w:hAnsi="Times New Roman" w:eastAsia="宋体" w:cs="Times New Roman"/>
          <w:color w:val="000000"/>
          <w:kern w:val="2"/>
          <w:sz w:val="24"/>
          <w:lang w:val="en-US" w:eastAsia="zh-CN" w:bidi="ar-SA"/>
        </w:rPr>
        <w:t>表5</w:t>
      </w:r>
    </w:p>
    <w:p w14:paraId="13F0EDF4">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4.3寄存器地址</w:t>
      </w:r>
      <w:bookmarkEnd w:id="3"/>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2"/>
        <w:gridCol w:w="3402"/>
        <w:gridCol w:w="1121"/>
      </w:tblGrid>
      <w:tr w14:paraId="2E4B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noWrap w:val="0"/>
            <w:vAlign w:val="center"/>
          </w:tcPr>
          <w:p w14:paraId="3FC9D6B5">
            <w:pPr>
              <w:rPr>
                <w:color w:val="000000"/>
              </w:rPr>
            </w:pPr>
            <w:r>
              <w:rPr>
                <w:color w:val="000000"/>
              </w:rPr>
              <w:t>寄存器地址</w:t>
            </w:r>
          </w:p>
        </w:tc>
        <w:tc>
          <w:tcPr>
            <w:tcW w:w="3402" w:type="dxa"/>
            <w:noWrap w:val="0"/>
            <w:vAlign w:val="center"/>
          </w:tcPr>
          <w:p w14:paraId="40DE3FC5">
            <w:pPr>
              <w:rPr>
                <w:color w:val="000000"/>
              </w:rPr>
            </w:pPr>
            <w:r>
              <w:rPr>
                <w:color w:val="000000"/>
              </w:rPr>
              <w:t>内容</w:t>
            </w:r>
          </w:p>
        </w:tc>
        <w:tc>
          <w:tcPr>
            <w:tcW w:w="1121" w:type="dxa"/>
            <w:noWrap w:val="0"/>
            <w:vAlign w:val="center"/>
          </w:tcPr>
          <w:p w14:paraId="2BDA507C">
            <w:pPr>
              <w:rPr>
                <w:color w:val="000000"/>
              </w:rPr>
            </w:pPr>
            <w:r>
              <w:rPr>
                <w:color w:val="000000"/>
              </w:rPr>
              <w:t>操作</w:t>
            </w:r>
          </w:p>
        </w:tc>
      </w:tr>
      <w:tr w14:paraId="0052D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noWrap w:val="0"/>
            <w:vAlign w:val="center"/>
          </w:tcPr>
          <w:p w14:paraId="09DE342A">
            <w:pPr>
              <w:rPr>
                <w:color w:val="000000"/>
              </w:rPr>
            </w:pPr>
            <w:r>
              <w:rPr>
                <w:color w:val="000000"/>
              </w:rPr>
              <w:t>000</w:t>
            </w:r>
            <w:r>
              <w:rPr>
                <w:rFonts w:hint="eastAsia"/>
                <w:color w:val="000000"/>
                <w:lang w:val="en-US" w:eastAsia="zh-CN"/>
              </w:rPr>
              <w:t>3</w:t>
            </w:r>
            <w:r>
              <w:rPr>
                <w:color w:val="000000"/>
              </w:rPr>
              <w:t>H</w:t>
            </w:r>
          </w:p>
        </w:tc>
        <w:tc>
          <w:tcPr>
            <w:tcW w:w="3402" w:type="dxa"/>
            <w:noWrap w:val="0"/>
            <w:vAlign w:val="center"/>
          </w:tcPr>
          <w:p w14:paraId="3F836BC6">
            <w:pPr>
              <w:rPr>
                <w:color w:val="000000"/>
              </w:rPr>
            </w:pPr>
            <w:r>
              <w:rPr>
                <w:rFonts w:hint="eastAsia"/>
                <w:color w:val="000000"/>
                <w:lang w:val="en-US" w:eastAsia="zh-CN"/>
              </w:rPr>
              <w:t>液位</w:t>
            </w:r>
            <w:r>
              <w:rPr>
                <w:color w:val="000000"/>
              </w:rPr>
              <w:t>值</w:t>
            </w:r>
            <w:r>
              <w:rPr>
                <w:rFonts w:hint="eastAsia"/>
                <w:color w:val="000000"/>
              </w:rPr>
              <w:t>（单位0.</w:t>
            </w:r>
            <w:r>
              <w:rPr>
                <w:rFonts w:hint="eastAsia"/>
                <w:color w:val="000000"/>
                <w:lang w:val="en-US" w:eastAsia="zh-CN"/>
              </w:rPr>
              <w:t>0</w:t>
            </w:r>
            <w:r>
              <w:rPr>
                <w:rFonts w:hint="eastAsia"/>
                <w:color w:val="000000"/>
              </w:rPr>
              <w:t>1</w:t>
            </w:r>
            <w:r>
              <w:rPr>
                <w:rFonts w:hint="eastAsia"/>
                <w:color w:val="000000"/>
                <w:lang w:val="en-US" w:eastAsia="zh-CN"/>
              </w:rPr>
              <w:t>m/s</w:t>
            </w:r>
            <w:r>
              <w:rPr>
                <w:rFonts w:hint="eastAsia"/>
                <w:color w:val="000000"/>
              </w:rPr>
              <w:t>）</w:t>
            </w:r>
          </w:p>
        </w:tc>
        <w:tc>
          <w:tcPr>
            <w:tcW w:w="1121" w:type="dxa"/>
            <w:noWrap w:val="0"/>
            <w:vAlign w:val="center"/>
          </w:tcPr>
          <w:p w14:paraId="304D8836">
            <w:pPr>
              <w:rPr>
                <w:color w:val="000000"/>
              </w:rPr>
            </w:pPr>
            <w:r>
              <w:rPr>
                <w:color w:val="000000"/>
              </w:rPr>
              <w:t>只读</w:t>
            </w:r>
          </w:p>
        </w:tc>
      </w:tr>
      <w:tr w14:paraId="1BF8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noWrap w:val="0"/>
            <w:vAlign w:val="center"/>
          </w:tcPr>
          <w:p w14:paraId="0CDCA41F">
            <w:pPr>
              <w:rPr>
                <w:color w:val="000000"/>
              </w:rPr>
            </w:pPr>
            <w:r>
              <w:rPr>
                <w:color w:val="000000"/>
              </w:rPr>
              <w:t>000</w:t>
            </w:r>
            <w:r>
              <w:rPr>
                <w:rFonts w:hint="eastAsia"/>
                <w:color w:val="000000"/>
                <w:lang w:val="en-US" w:eastAsia="zh-CN"/>
              </w:rPr>
              <w:t>0</w:t>
            </w:r>
            <w:r>
              <w:rPr>
                <w:color w:val="000000"/>
              </w:rPr>
              <w:t>H</w:t>
            </w:r>
          </w:p>
        </w:tc>
        <w:tc>
          <w:tcPr>
            <w:tcW w:w="3402" w:type="dxa"/>
            <w:noWrap w:val="0"/>
            <w:vAlign w:val="center"/>
          </w:tcPr>
          <w:p w14:paraId="1A17AB49">
            <w:pPr>
              <w:rPr>
                <w:rFonts w:hint="default"/>
                <w:color w:val="000000"/>
                <w:lang w:val="en-US" w:eastAsia="zh-CN"/>
              </w:rPr>
            </w:pPr>
            <w:r>
              <w:rPr>
                <w:rFonts w:hint="eastAsia"/>
                <w:color w:val="000000"/>
                <w:lang w:val="en-US" w:eastAsia="zh-CN"/>
              </w:rPr>
              <w:t>瞬时流速（</w:t>
            </w:r>
            <w:r>
              <w:rPr>
                <w:rFonts w:ascii="宋体" w:hAnsi="宋体" w:eastAsia="宋体" w:cs="宋体"/>
                <w:b w:val="0"/>
                <w:bCs w:val="0"/>
                <w:color w:val="000000"/>
                <w:sz w:val="24"/>
                <w:szCs w:val="24"/>
              </w:rPr>
              <w:t xml:space="preserve">单位 </w:t>
            </w:r>
            <w:r>
              <w:rPr>
                <w:rFonts w:hint="eastAsia" w:ascii="宋体" w:hAnsi="宋体" w:cs="宋体"/>
                <w:b w:val="0"/>
                <w:bCs w:val="0"/>
                <w:color w:val="000000"/>
                <w:sz w:val="24"/>
                <w:szCs w:val="24"/>
                <w:lang w:val="en-US" w:eastAsia="zh-CN"/>
              </w:rPr>
              <w:t>0.1</w:t>
            </w:r>
            <w:r>
              <w:rPr>
                <w:rFonts w:ascii="TimesNewRomanPSMT" w:hAnsi="TimesNewRomanPSMT" w:eastAsia="TimesNewRomanPSMT" w:cs="TimesNewRomanPSMT"/>
                <w:b w:val="0"/>
                <w:bCs w:val="0"/>
                <w:color w:val="000000"/>
                <w:sz w:val="24"/>
                <w:szCs w:val="24"/>
              </w:rPr>
              <w:t>m/s</w:t>
            </w:r>
            <w:r>
              <w:rPr>
                <w:rFonts w:hint="eastAsia"/>
                <w:color w:val="000000"/>
                <w:lang w:val="en-US" w:eastAsia="zh-CN"/>
              </w:rPr>
              <w:t>）</w:t>
            </w:r>
          </w:p>
        </w:tc>
        <w:tc>
          <w:tcPr>
            <w:tcW w:w="1121" w:type="dxa"/>
            <w:noWrap w:val="0"/>
            <w:vAlign w:val="center"/>
          </w:tcPr>
          <w:p w14:paraId="48EF63CE">
            <w:pPr>
              <w:rPr>
                <w:color w:val="000000"/>
              </w:rPr>
            </w:pPr>
            <w:r>
              <w:rPr>
                <w:color w:val="000000"/>
              </w:rPr>
              <w:t>只读</w:t>
            </w:r>
          </w:p>
        </w:tc>
      </w:tr>
      <w:tr w14:paraId="09A64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noWrap w:val="0"/>
            <w:vAlign w:val="center"/>
          </w:tcPr>
          <w:p w14:paraId="17C0127D">
            <w:pPr>
              <w:rPr>
                <w:color w:val="000000"/>
              </w:rPr>
            </w:pPr>
            <w:r>
              <w:rPr>
                <w:color w:val="000000"/>
              </w:rPr>
              <w:t>000</w:t>
            </w:r>
            <w:r>
              <w:rPr>
                <w:rFonts w:hint="eastAsia"/>
                <w:color w:val="000000"/>
                <w:lang w:val="en-US" w:eastAsia="zh-CN"/>
              </w:rPr>
              <w:t>1</w:t>
            </w:r>
            <w:r>
              <w:rPr>
                <w:color w:val="000000"/>
              </w:rPr>
              <w:t>H</w:t>
            </w:r>
          </w:p>
        </w:tc>
        <w:tc>
          <w:tcPr>
            <w:tcW w:w="3402" w:type="dxa"/>
            <w:noWrap w:val="0"/>
            <w:vAlign w:val="center"/>
          </w:tcPr>
          <w:p w14:paraId="21A2C452">
            <w:pPr>
              <w:rPr>
                <w:rFonts w:hint="default"/>
                <w:color w:val="000000"/>
                <w:lang w:val="en-US" w:eastAsia="zh-CN"/>
              </w:rPr>
            </w:pPr>
            <w:r>
              <w:rPr>
                <w:rFonts w:hint="eastAsia"/>
                <w:color w:val="000000"/>
                <w:lang w:val="en-US" w:eastAsia="zh-CN"/>
              </w:rPr>
              <w:t>瞬时流量（</w:t>
            </w:r>
            <w:r>
              <w:rPr>
                <w:rFonts w:ascii="宋体" w:hAnsi="宋体" w:eastAsia="宋体" w:cs="宋体"/>
                <w:b w:val="0"/>
                <w:bCs w:val="0"/>
                <w:color w:val="000000"/>
                <w:sz w:val="24"/>
                <w:szCs w:val="24"/>
              </w:rPr>
              <w:t xml:space="preserve">单位 </w:t>
            </w:r>
            <w:r>
              <w:rPr>
                <w:rFonts w:hint="eastAsia" w:ascii="宋体" w:hAnsi="宋体" w:cs="宋体"/>
                <w:b w:val="0"/>
                <w:bCs w:val="0"/>
                <w:color w:val="000000"/>
                <w:sz w:val="24"/>
                <w:szCs w:val="24"/>
                <w:lang w:val="en-US" w:eastAsia="zh-CN"/>
              </w:rPr>
              <w:t>0.1</w:t>
            </w:r>
            <w:r>
              <w:rPr>
                <w:rFonts w:ascii="TimesNewRomanPSMT" w:hAnsi="TimesNewRomanPSMT" w:eastAsia="TimesNewRomanPSMT" w:cs="TimesNewRomanPSMT"/>
                <w:b w:val="0"/>
                <w:bCs w:val="0"/>
                <w:color w:val="000000"/>
                <w:sz w:val="24"/>
                <w:szCs w:val="24"/>
              </w:rPr>
              <w:t>m³/s</w:t>
            </w:r>
            <w:r>
              <w:rPr>
                <w:rFonts w:hint="eastAsia"/>
                <w:color w:val="000000"/>
                <w:lang w:val="en-US" w:eastAsia="zh-CN"/>
              </w:rPr>
              <w:t>）</w:t>
            </w:r>
          </w:p>
        </w:tc>
        <w:tc>
          <w:tcPr>
            <w:tcW w:w="1121" w:type="dxa"/>
            <w:noWrap w:val="0"/>
            <w:vAlign w:val="center"/>
          </w:tcPr>
          <w:p w14:paraId="406D1F86">
            <w:pPr>
              <w:rPr>
                <w:color w:val="000000"/>
              </w:rPr>
            </w:pPr>
            <w:r>
              <w:rPr>
                <w:color w:val="000000"/>
              </w:rPr>
              <w:t>只读</w:t>
            </w:r>
          </w:p>
        </w:tc>
      </w:tr>
      <w:tr w14:paraId="56E06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noWrap w:val="0"/>
            <w:vAlign w:val="center"/>
          </w:tcPr>
          <w:p w14:paraId="19DD13D0">
            <w:pPr>
              <w:rPr>
                <w:color w:val="000000"/>
              </w:rPr>
            </w:pPr>
            <w:r>
              <w:rPr>
                <w:color w:val="000000"/>
              </w:rPr>
              <w:t>000</w:t>
            </w:r>
            <w:r>
              <w:rPr>
                <w:rFonts w:hint="eastAsia"/>
                <w:color w:val="000000"/>
                <w:lang w:val="en-US" w:eastAsia="zh-CN"/>
              </w:rPr>
              <w:t>2</w:t>
            </w:r>
            <w:r>
              <w:rPr>
                <w:color w:val="000000"/>
              </w:rPr>
              <w:t>H</w:t>
            </w:r>
          </w:p>
        </w:tc>
        <w:tc>
          <w:tcPr>
            <w:tcW w:w="3402" w:type="dxa"/>
            <w:noWrap w:val="0"/>
            <w:vAlign w:val="center"/>
          </w:tcPr>
          <w:p w14:paraId="1FBE15C0">
            <w:pPr>
              <w:rPr>
                <w:rFonts w:hint="default"/>
                <w:color w:val="000000"/>
                <w:lang w:val="en-US" w:eastAsia="zh-CN"/>
              </w:rPr>
            </w:pPr>
            <w:r>
              <w:rPr>
                <w:rFonts w:hint="eastAsia"/>
                <w:color w:val="000000"/>
                <w:lang w:val="en-US" w:eastAsia="zh-CN"/>
              </w:rPr>
              <w:t>累计流量（</w:t>
            </w:r>
            <w:r>
              <w:rPr>
                <w:rFonts w:ascii="宋体" w:hAnsi="宋体" w:eastAsia="宋体" w:cs="宋体"/>
                <w:b w:val="0"/>
                <w:bCs w:val="0"/>
                <w:color w:val="000000"/>
                <w:sz w:val="24"/>
                <w:szCs w:val="24"/>
              </w:rPr>
              <w:t xml:space="preserve">单位 </w:t>
            </w:r>
            <w:r>
              <w:rPr>
                <w:rFonts w:hint="eastAsia" w:ascii="宋体" w:hAnsi="宋体" w:cs="宋体"/>
                <w:b w:val="0"/>
                <w:bCs w:val="0"/>
                <w:color w:val="000000"/>
                <w:sz w:val="24"/>
                <w:szCs w:val="24"/>
                <w:lang w:val="en-US" w:eastAsia="zh-CN"/>
              </w:rPr>
              <w:t>0.1</w:t>
            </w:r>
            <w:r>
              <w:rPr>
                <w:rFonts w:ascii="TimesNewRomanPSMT" w:hAnsi="TimesNewRomanPSMT" w:eastAsia="TimesNewRomanPSMT" w:cs="TimesNewRomanPSMT"/>
                <w:b w:val="0"/>
                <w:bCs w:val="0"/>
                <w:color w:val="000000"/>
                <w:sz w:val="24"/>
                <w:szCs w:val="24"/>
              </w:rPr>
              <w:t>m³</w:t>
            </w:r>
            <w:r>
              <w:rPr>
                <w:rFonts w:hint="eastAsia"/>
                <w:color w:val="000000"/>
                <w:lang w:val="en-US" w:eastAsia="zh-CN"/>
              </w:rPr>
              <w:t>）</w:t>
            </w:r>
          </w:p>
        </w:tc>
        <w:tc>
          <w:tcPr>
            <w:tcW w:w="1121" w:type="dxa"/>
            <w:noWrap w:val="0"/>
            <w:vAlign w:val="center"/>
          </w:tcPr>
          <w:p w14:paraId="06DF5C5D">
            <w:pPr>
              <w:rPr>
                <w:color w:val="000000"/>
              </w:rPr>
            </w:pPr>
            <w:r>
              <w:rPr>
                <w:color w:val="000000"/>
              </w:rPr>
              <w:t>只读</w:t>
            </w:r>
          </w:p>
        </w:tc>
      </w:tr>
      <w:tr w14:paraId="412AA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noWrap w:val="0"/>
            <w:vAlign w:val="center"/>
          </w:tcPr>
          <w:p w14:paraId="15286DEA">
            <w:pPr>
              <w:rPr>
                <w:color w:val="000000"/>
              </w:rPr>
            </w:pPr>
            <w:r>
              <w:rPr>
                <w:color w:val="000000"/>
              </w:rPr>
              <w:t>0100H</w:t>
            </w:r>
          </w:p>
        </w:tc>
        <w:tc>
          <w:tcPr>
            <w:tcW w:w="3402" w:type="dxa"/>
            <w:noWrap w:val="0"/>
            <w:vAlign w:val="center"/>
          </w:tcPr>
          <w:p w14:paraId="3BE12352">
            <w:pPr>
              <w:rPr>
                <w:color w:val="000000"/>
              </w:rPr>
            </w:pPr>
            <w:r>
              <w:rPr>
                <w:color w:val="000000"/>
              </w:rPr>
              <w:t>设备地址（0-252）</w:t>
            </w:r>
          </w:p>
        </w:tc>
        <w:tc>
          <w:tcPr>
            <w:tcW w:w="1121" w:type="dxa"/>
            <w:noWrap w:val="0"/>
            <w:vAlign w:val="center"/>
          </w:tcPr>
          <w:p w14:paraId="3E6947A3">
            <w:pPr>
              <w:rPr>
                <w:color w:val="000000"/>
              </w:rPr>
            </w:pPr>
            <w:r>
              <w:rPr>
                <w:color w:val="000000"/>
              </w:rPr>
              <w:t>读写</w:t>
            </w:r>
          </w:p>
        </w:tc>
      </w:tr>
      <w:tr w14:paraId="6D934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2" w:type="dxa"/>
            <w:noWrap w:val="0"/>
            <w:vAlign w:val="center"/>
          </w:tcPr>
          <w:p w14:paraId="6BC49A01">
            <w:pPr>
              <w:rPr>
                <w:color w:val="000000"/>
              </w:rPr>
            </w:pPr>
            <w:r>
              <w:rPr>
                <w:color w:val="000000"/>
              </w:rPr>
              <w:t>0101H</w:t>
            </w:r>
          </w:p>
        </w:tc>
        <w:tc>
          <w:tcPr>
            <w:tcW w:w="3402" w:type="dxa"/>
            <w:noWrap w:val="0"/>
            <w:vAlign w:val="center"/>
          </w:tcPr>
          <w:p w14:paraId="7ECE84D9">
            <w:pPr>
              <w:rPr>
                <w:color w:val="000000"/>
              </w:rPr>
            </w:pPr>
            <w:r>
              <w:rPr>
                <w:color w:val="000000"/>
              </w:rPr>
              <w:t>波特率（2400</w:t>
            </w:r>
            <w:r>
              <w:rPr>
                <w:rFonts w:hint="eastAsia"/>
                <w:color w:val="000000"/>
              </w:rPr>
              <w:t>/</w:t>
            </w:r>
            <w:r>
              <w:rPr>
                <w:color w:val="000000"/>
              </w:rPr>
              <w:t>4800</w:t>
            </w:r>
            <w:r>
              <w:rPr>
                <w:rFonts w:hint="eastAsia"/>
                <w:color w:val="000000"/>
              </w:rPr>
              <w:t>/</w:t>
            </w:r>
            <w:r>
              <w:rPr>
                <w:color w:val="000000"/>
              </w:rPr>
              <w:t>9600）</w:t>
            </w:r>
          </w:p>
        </w:tc>
        <w:tc>
          <w:tcPr>
            <w:tcW w:w="1121" w:type="dxa"/>
            <w:noWrap w:val="0"/>
            <w:vAlign w:val="center"/>
          </w:tcPr>
          <w:p w14:paraId="4B1F9AA0">
            <w:pPr>
              <w:rPr>
                <w:color w:val="000000"/>
              </w:rPr>
            </w:pPr>
            <w:r>
              <w:rPr>
                <w:color w:val="000000"/>
              </w:rPr>
              <w:t>读写</w:t>
            </w:r>
          </w:p>
        </w:tc>
      </w:tr>
    </w:tbl>
    <w:p w14:paraId="1EB105F0">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color w:val="000000"/>
          <w:lang w:val="en-US" w:eastAsia="zh-CN"/>
        </w:rPr>
      </w:pPr>
      <w:bookmarkStart w:id="4" w:name="_Toc9378"/>
      <w:r>
        <w:rPr>
          <w:rFonts w:hint="eastAsia" w:ascii="黑体" w:hAnsi="黑体" w:eastAsia="黑体" w:cs="黑体"/>
          <w:b/>
          <w:bCs/>
          <w:sz w:val="32"/>
          <w:szCs w:val="32"/>
          <w:lang w:val="en-US" w:eastAsia="zh-CN"/>
        </w:rPr>
        <w:t xml:space="preserve">                    </w:t>
      </w:r>
      <w:r>
        <w:rPr>
          <w:rFonts w:hint="eastAsia"/>
          <w:color w:val="000000"/>
          <w:lang w:val="en-US" w:eastAsia="zh-CN"/>
        </w:rPr>
        <w:t xml:space="preserve">     表6</w:t>
      </w:r>
    </w:p>
    <w:p w14:paraId="3FBE8E94">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4.4通讯协议示例以及解释</w:t>
      </w:r>
      <w:bookmarkEnd w:id="4"/>
    </w:p>
    <w:p w14:paraId="15BB240A">
      <w:pPr>
        <w:keepNext w:val="0"/>
        <w:keepLines w:val="0"/>
        <w:pageBreakBefore w:val="0"/>
        <w:widowControl w:val="0"/>
        <w:numPr>
          <w:ilvl w:val="0"/>
          <w:numId w:val="0"/>
        </w:numPr>
        <w:kinsoku/>
        <w:wordWrap/>
        <w:overflowPunct/>
        <w:topLinePunct w:val="0"/>
        <w:autoSpaceDE/>
        <w:autoSpaceDN/>
        <w:bidi w:val="0"/>
        <w:adjustRightInd/>
        <w:snapToGrid/>
        <w:ind w:leftChars="0" w:firstLine="280" w:firstLineChars="100"/>
        <w:jc w:val="both"/>
        <w:textAlignment w:val="auto"/>
        <w:rPr>
          <w:rFonts w:hint="eastAsia" w:ascii="黑体" w:hAnsi="黑体" w:eastAsia="黑体" w:cs="黑体"/>
          <w:b/>
          <w:bCs/>
          <w:sz w:val="28"/>
          <w:szCs w:val="28"/>
          <w:lang w:val="en-US" w:eastAsia="zh-CN"/>
        </w:rPr>
      </w:pPr>
      <w:r>
        <w:rPr>
          <w:rFonts w:hint="eastAsia" w:ascii="黑体" w:hAnsi="黑体" w:eastAsia="黑体" w:cs="黑体"/>
          <w:color w:val="000000"/>
          <w:sz w:val="28"/>
          <w:szCs w:val="28"/>
          <w:lang w:val="en-US" w:eastAsia="zh-CN"/>
        </w:rPr>
        <w:t>4.4.1</w:t>
      </w:r>
      <w:r>
        <w:rPr>
          <w:rFonts w:hint="eastAsia" w:ascii="黑体" w:hAnsi="黑体" w:eastAsia="黑体" w:cs="黑体"/>
          <w:color w:val="000000"/>
          <w:sz w:val="28"/>
          <w:szCs w:val="28"/>
        </w:rPr>
        <w:t>读取设备地址0x01的</w:t>
      </w:r>
      <w:r>
        <w:rPr>
          <w:rFonts w:hint="eastAsia" w:ascii="黑体" w:hAnsi="黑体" w:eastAsia="黑体" w:cs="黑体"/>
          <w:color w:val="000000"/>
          <w:sz w:val="28"/>
          <w:szCs w:val="28"/>
          <w:lang w:val="en-US" w:eastAsia="zh-CN"/>
        </w:rPr>
        <w:t>液位</w:t>
      </w:r>
      <w:r>
        <w:rPr>
          <w:rFonts w:hint="eastAsia" w:ascii="黑体" w:hAnsi="黑体" w:eastAsia="黑体" w:cs="黑体"/>
          <w:color w:val="000000"/>
          <w:sz w:val="28"/>
          <w:szCs w:val="28"/>
        </w:rPr>
        <w:t>值</w:t>
      </w:r>
    </w:p>
    <w:p w14:paraId="4429630B">
      <w:pPr>
        <w:pStyle w:val="3"/>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1044"/>
        <w:gridCol w:w="1356"/>
        <w:gridCol w:w="1305"/>
        <w:gridCol w:w="1052"/>
        <w:gridCol w:w="1081"/>
      </w:tblGrid>
      <w:tr w14:paraId="04DC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5" w:type="dxa"/>
            <w:noWrap w:val="0"/>
            <w:vAlign w:val="center"/>
          </w:tcPr>
          <w:p w14:paraId="6440C740">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1044" w:type="dxa"/>
            <w:noWrap w:val="0"/>
            <w:vAlign w:val="center"/>
          </w:tcPr>
          <w:p w14:paraId="54B2F5BE">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356" w:type="dxa"/>
            <w:noWrap w:val="0"/>
            <w:vAlign w:val="center"/>
          </w:tcPr>
          <w:p w14:paraId="36D66CFC">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305" w:type="dxa"/>
            <w:noWrap w:val="0"/>
            <w:vAlign w:val="center"/>
          </w:tcPr>
          <w:p w14:paraId="4BC5D493">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052" w:type="dxa"/>
            <w:noWrap w:val="0"/>
            <w:vAlign w:val="center"/>
          </w:tcPr>
          <w:p w14:paraId="388B276F">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14:paraId="3C9B2432">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14:paraId="5C7C5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5" w:type="dxa"/>
            <w:noWrap w:val="0"/>
            <w:vAlign w:val="center"/>
          </w:tcPr>
          <w:p w14:paraId="1C7A8F7E">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1044" w:type="dxa"/>
            <w:noWrap w:val="0"/>
            <w:vAlign w:val="center"/>
          </w:tcPr>
          <w:p w14:paraId="149638B5">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356" w:type="dxa"/>
            <w:noWrap w:val="0"/>
            <w:vAlign w:val="center"/>
          </w:tcPr>
          <w:p w14:paraId="4F080E39">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0x00,0x0</w:t>
            </w:r>
            <w:r>
              <w:rPr>
                <w:rFonts w:hint="eastAsia" w:ascii="宋体" w:hAnsi="宋体" w:cs="宋体"/>
                <w:color w:val="000000"/>
                <w:sz w:val="24"/>
                <w:szCs w:val="24"/>
                <w:lang w:val="en-US" w:eastAsia="zh-CN"/>
              </w:rPr>
              <w:t>3</w:t>
            </w:r>
          </w:p>
        </w:tc>
        <w:tc>
          <w:tcPr>
            <w:tcW w:w="1305" w:type="dxa"/>
            <w:noWrap w:val="0"/>
            <w:vAlign w:val="center"/>
          </w:tcPr>
          <w:p w14:paraId="157F5714">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052" w:type="dxa"/>
            <w:noWrap w:val="0"/>
            <w:vAlign w:val="center"/>
          </w:tcPr>
          <w:p w14:paraId="49E92BA2">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74</w:t>
            </w:r>
          </w:p>
        </w:tc>
        <w:tc>
          <w:tcPr>
            <w:tcW w:w="1081" w:type="dxa"/>
            <w:noWrap w:val="0"/>
            <w:vAlign w:val="center"/>
          </w:tcPr>
          <w:p w14:paraId="55A9171B">
            <w:pPr>
              <w:rPr>
                <w:rFonts w:hint="eastAsia" w:ascii="宋体" w:hAnsi="宋体" w:eastAsia="宋体" w:cs="宋体"/>
                <w:color w:val="000000"/>
                <w:sz w:val="24"/>
                <w:szCs w:val="24"/>
              </w:rPr>
            </w:pPr>
            <w:r>
              <w:rPr>
                <w:rFonts w:hint="eastAsia" w:ascii="宋体" w:hAnsi="宋体" w:eastAsia="宋体" w:cs="宋体"/>
                <w:color w:val="000000"/>
                <w:sz w:val="24"/>
                <w:szCs w:val="24"/>
              </w:rPr>
              <w:t>0x0A</w:t>
            </w:r>
          </w:p>
        </w:tc>
      </w:tr>
    </w:tbl>
    <w:p w14:paraId="60F0490F">
      <w:pPr>
        <w:pStyle w:val="3"/>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1008"/>
        <w:gridCol w:w="1389"/>
        <w:gridCol w:w="721"/>
        <w:gridCol w:w="1270"/>
        <w:gridCol w:w="1410"/>
      </w:tblGrid>
      <w:tr w14:paraId="34BFB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noWrap w:val="0"/>
            <w:vAlign w:val="center"/>
          </w:tcPr>
          <w:p w14:paraId="4189533F">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1008" w:type="dxa"/>
            <w:noWrap w:val="0"/>
            <w:vAlign w:val="center"/>
          </w:tcPr>
          <w:p w14:paraId="78C41EF9">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389" w:type="dxa"/>
            <w:noWrap w:val="0"/>
            <w:vAlign w:val="center"/>
          </w:tcPr>
          <w:p w14:paraId="5A6467AD">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721" w:type="dxa"/>
            <w:noWrap w:val="0"/>
            <w:vAlign w:val="center"/>
          </w:tcPr>
          <w:p w14:paraId="53421873">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水位值</w:t>
            </w:r>
          </w:p>
        </w:tc>
        <w:tc>
          <w:tcPr>
            <w:tcW w:w="1270" w:type="dxa"/>
            <w:noWrap w:val="0"/>
            <w:vAlign w:val="center"/>
          </w:tcPr>
          <w:p w14:paraId="4A043B07">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14:paraId="57EBC17D">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14:paraId="7D9BD27E">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14:paraId="480DAC8A">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14:paraId="5A6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dxa"/>
            <w:noWrap w:val="0"/>
            <w:vAlign w:val="top"/>
          </w:tcPr>
          <w:p w14:paraId="6D18B727">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1008" w:type="dxa"/>
            <w:noWrap w:val="0"/>
            <w:vAlign w:val="top"/>
          </w:tcPr>
          <w:p w14:paraId="55F407FD">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389" w:type="dxa"/>
            <w:noWrap w:val="0"/>
            <w:vAlign w:val="top"/>
          </w:tcPr>
          <w:p w14:paraId="53A9CCDE">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721" w:type="dxa"/>
            <w:noWrap w:val="0"/>
            <w:vAlign w:val="top"/>
          </w:tcPr>
          <w:p w14:paraId="40B4AD00">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14:paraId="71763F34">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46</w:t>
            </w:r>
          </w:p>
        </w:tc>
        <w:tc>
          <w:tcPr>
            <w:tcW w:w="1270" w:type="dxa"/>
            <w:noWrap w:val="0"/>
            <w:vAlign w:val="top"/>
          </w:tcPr>
          <w:p w14:paraId="0E576C96">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39</w:t>
            </w:r>
          </w:p>
        </w:tc>
        <w:tc>
          <w:tcPr>
            <w:tcW w:w="1410" w:type="dxa"/>
            <w:noWrap w:val="0"/>
            <w:vAlign w:val="top"/>
          </w:tcPr>
          <w:p w14:paraId="6B224EFB">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B6</w:t>
            </w:r>
          </w:p>
        </w:tc>
      </w:tr>
    </w:tbl>
    <w:p w14:paraId="78AE3F45">
      <w:pPr>
        <w:pStyle w:val="3"/>
        <w:ind w:left="0" w:leftChars="0" w:firstLine="480" w:firstLineChars="200"/>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                          表7   </w:t>
      </w:r>
    </w:p>
    <w:p w14:paraId="36D90412">
      <w:pPr>
        <w:pStyle w:val="3"/>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水位</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46</w:t>
      </w:r>
      <w:r>
        <w:rPr>
          <w:rFonts w:hint="eastAsia" w:ascii="宋体" w:hAnsi="宋体" w:eastAsia="宋体" w:cs="宋体"/>
          <w:color w:val="000000"/>
          <w:sz w:val="24"/>
          <w:szCs w:val="24"/>
          <w:lang w:val="en-US" w:eastAsia="zh-CN"/>
        </w:rPr>
        <w:t>,则具体计算如下</w:t>
      </w:r>
    </w:p>
    <w:p w14:paraId="5B762363">
      <w:pPr>
        <w:pStyle w:val="3"/>
        <w:rPr>
          <w:rFonts w:hint="eastAsia" w:ascii="黑体" w:hAnsi="黑体" w:eastAsia="黑体" w:cs="黑体"/>
          <w:b/>
          <w:bCs/>
          <w:sz w:val="32"/>
          <w:szCs w:val="32"/>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046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70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水位值=0.7m</w:t>
      </w:r>
    </w:p>
    <w:p w14:paraId="3F66C7B6">
      <w:pPr>
        <w:keepNext w:val="0"/>
        <w:keepLines w:val="0"/>
        <w:pageBreakBefore w:val="0"/>
        <w:widowControl w:val="0"/>
        <w:numPr>
          <w:ilvl w:val="0"/>
          <w:numId w:val="0"/>
        </w:numPr>
        <w:kinsoku/>
        <w:wordWrap/>
        <w:overflowPunct/>
        <w:topLinePunct w:val="0"/>
        <w:autoSpaceDE/>
        <w:autoSpaceDN/>
        <w:bidi w:val="0"/>
        <w:adjustRightInd/>
        <w:snapToGrid/>
        <w:ind w:leftChars="0" w:firstLine="280" w:firstLineChars="100"/>
        <w:jc w:val="both"/>
        <w:textAlignment w:val="auto"/>
        <w:rPr>
          <w:rFonts w:hint="eastAsia" w:ascii="黑体" w:hAnsi="黑体" w:eastAsia="黑体" w:cs="黑体"/>
          <w:color w:val="000000"/>
          <w:sz w:val="28"/>
          <w:szCs w:val="28"/>
          <w:lang w:val="en-US" w:eastAsia="zh-CN"/>
        </w:rPr>
      </w:pPr>
      <w:bookmarkStart w:id="5" w:name="_Toc420"/>
      <w:r>
        <w:rPr>
          <w:rFonts w:hint="eastAsia" w:ascii="黑体" w:hAnsi="黑体" w:eastAsia="黑体" w:cs="黑体"/>
          <w:color w:val="000000"/>
          <w:sz w:val="28"/>
          <w:szCs w:val="28"/>
          <w:lang w:val="en-US" w:eastAsia="zh-CN"/>
        </w:rPr>
        <w:t>4.4.2读取设备地址0x01的流速值</w:t>
      </w:r>
      <w:bookmarkEnd w:id="5"/>
    </w:p>
    <w:p w14:paraId="271E5402">
      <w:pPr>
        <w:pStyle w:val="3"/>
        <w:ind w:firstLine="352" w:firstLineChars="147"/>
        <w:rPr>
          <w:color w:val="000000"/>
        </w:rPr>
      </w:pPr>
      <w:r>
        <w:rPr>
          <w:color w:val="000000"/>
        </w:rPr>
        <w:t>问询帧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0"/>
        <w:gridCol w:w="1331"/>
        <w:gridCol w:w="1277"/>
        <w:gridCol w:w="1108"/>
        <w:gridCol w:w="1282"/>
      </w:tblGrid>
      <w:tr w14:paraId="2412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noWrap w:val="0"/>
            <w:vAlign w:val="center"/>
          </w:tcPr>
          <w:p w14:paraId="47B0715D">
            <w:pPr>
              <w:rPr>
                <w:color w:val="000000"/>
              </w:rPr>
            </w:pPr>
            <w:r>
              <w:rPr>
                <w:color w:val="000000"/>
              </w:rPr>
              <w:t>地址码</w:t>
            </w:r>
          </w:p>
        </w:tc>
        <w:tc>
          <w:tcPr>
            <w:tcW w:w="860" w:type="dxa"/>
            <w:noWrap w:val="0"/>
            <w:vAlign w:val="center"/>
          </w:tcPr>
          <w:p w14:paraId="5F3E696D">
            <w:pPr>
              <w:rPr>
                <w:color w:val="000000"/>
              </w:rPr>
            </w:pPr>
            <w:r>
              <w:rPr>
                <w:color w:val="000000"/>
              </w:rPr>
              <w:t>功能码</w:t>
            </w:r>
          </w:p>
        </w:tc>
        <w:tc>
          <w:tcPr>
            <w:tcW w:w="1331" w:type="dxa"/>
            <w:noWrap w:val="0"/>
            <w:vAlign w:val="center"/>
          </w:tcPr>
          <w:p w14:paraId="57275A49">
            <w:pPr>
              <w:rPr>
                <w:color w:val="000000"/>
              </w:rPr>
            </w:pPr>
            <w:r>
              <w:rPr>
                <w:color w:val="000000"/>
              </w:rPr>
              <w:t>起始地址</w:t>
            </w:r>
          </w:p>
        </w:tc>
        <w:tc>
          <w:tcPr>
            <w:tcW w:w="1277" w:type="dxa"/>
            <w:noWrap w:val="0"/>
            <w:vAlign w:val="center"/>
          </w:tcPr>
          <w:p w14:paraId="65915B42">
            <w:pPr>
              <w:rPr>
                <w:color w:val="000000"/>
              </w:rPr>
            </w:pPr>
            <w:r>
              <w:rPr>
                <w:color w:val="000000"/>
              </w:rPr>
              <w:t>数据长度</w:t>
            </w:r>
          </w:p>
        </w:tc>
        <w:tc>
          <w:tcPr>
            <w:tcW w:w="1108" w:type="dxa"/>
            <w:noWrap w:val="0"/>
            <w:vAlign w:val="center"/>
          </w:tcPr>
          <w:p w14:paraId="3F1A8C72">
            <w:pPr>
              <w:rPr>
                <w:color w:val="000000"/>
              </w:rPr>
            </w:pPr>
            <w:r>
              <w:rPr>
                <w:color w:val="000000"/>
              </w:rPr>
              <w:t>校验码低位</w:t>
            </w:r>
          </w:p>
        </w:tc>
        <w:tc>
          <w:tcPr>
            <w:tcW w:w="1282" w:type="dxa"/>
            <w:noWrap w:val="0"/>
            <w:vAlign w:val="center"/>
          </w:tcPr>
          <w:p w14:paraId="742477C8">
            <w:pPr>
              <w:rPr>
                <w:color w:val="000000"/>
              </w:rPr>
            </w:pPr>
            <w:r>
              <w:rPr>
                <w:color w:val="000000"/>
              </w:rPr>
              <w:t>校验码高位</w:t>
            </w:r>
          </w:p>
        </w:tc>
      </w:tr>
      <w:tr w14:paraId="58207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noWrap w:val="0"/>
            <w:vAlign w:val="center"/>
          </w:tcPr>
          <w:p w14:paraId="4C512D0F">
            <w:pPr>
              <w:rPr>
                <w:color w:val="000000"/>
              </w:rPr>
            </w:pPr>
            <w:r>
              <w:rPr>
                <w:color w:val="000000"/>
              </w:rPr>
              <w:t>0x01</w:t>
            </w:r>
          </w:p>
        </w:tc>
        <w:tc>
          <w:tcPr>
            <w:tcW w:w="860" w:type="dxa"/>
            <w:noWrap w:val="0"/>
            <w:vAlign w:val="center"/>
          </w:tcPr>
          <w:p w14:paraId="04AB082F">
            <w:pPr>
              <w:rPr>
                <w:color w:val="000000"/>
              </w:rPr>
            </w:pPr>
            <w:r>
              <w:rPr>
                <w:color w:val="000000"/>
              </w:rPr>
              <w:t>0x03</w:t>
            </w:r>
          </w:p>
        </w:tc>
        <w:tc>
          <w:tcPr>
            <w:tcW w:w="1331" w:type="dxa"/>
            <w:noWrap w:val="0"/>
            <w:vAlign w:val="center"/>
          </w:tcPr>
          <w:p w14:paraId="2A317BBD">
            <w:pPr>
              <w:rPr>
                <w:color w:val="000000"/>
              </w:rPr>
            </w:pPr>
            <w:r>
              <w:rPr>
                <w:color w:val="000000"/>
              </w:rPr>
              <w:t>0x00,0x0</w:t>
            </w:r>
            <w:r>
              <w:rPr>
                <w:rFonts w:hint="eastAsia"/>
                <w:color w:val="000000"/>
              </w:rPr>
              <w:t>0</w:t>
            </w:r>
          </w:p>
        </w:tc>
        <w:tc>
          <w:tcPr>
            <w:tcW w:w="1277" w:type="dxa"/>
            <w:noWrap w:val="0"/>
            <w:vAlign w:val="center"/>
          </w:tcPr>
          <w:p w14:paraId="79213F33">
            <w:pPr>
              <w:rPr>
                <w:rFonts w:hint="eastAsia" w:eastAsia="宋体"/>
                <w:color w:val="000000"/>
                <w:lang w:val="en-US" w:eastAsia="zh-CN"/>
              </w:rPr>
            </w:pPr>
            <w:r>
              <w:rPr>
                <w:color w:val="000000"/>
              </w:rPr>
              <w:t>0x00,0x0</w:t>
            </w:r>
            <w:r>
              <w:rPr>
                <w:rFonts w:hint="eastAsia"/>
                <w:color w:val="000000"/>
                <w:lang w:val="en-US" w:eastAsia="zh-CN"/>
              </w:rPr>
              <w:t>1</w:t>
            </w:r>
          </w:p>
        </w:tc>
        <w:tc>
          <w:tcPr>
            <w:tcW w:w="1108" w:type="dxa"/>
            <w:noWrap w:val="0"/>
            <w:vAlign w:val="center"/>
          </w:tcPr>
          <w:p w14:paraId="5BB75658">
            <w:pPr>
              <w:rPr>
                <w:rFonts w:hint="default" w:eastAsia="宋体"/>
                <w:color w:val="000000"/>
                <w:lang w:val="en-US" w:eastAsia="zh-CN"/>
              </w:rPr>
            </w:pPr>
            <w:r>
              <w:rPr>
                <w:color w:val="000000"/>
              </w:rPr>
              <w:t>0</w:t>
            </w:r>
            <w:r>
              <w:rPr>
                <w:rFonts w:hint="eastAsia"/>
                <w:color w:val="000000"/>
              </w:rPr>
              <w:t>x</w:t>
            </w:r>
            <w:r>
              <w:rPr>
                <w:rFonts w:hint="eastAsia"/>
                <w:color w:val="000000"/>
                <w:lang w:val="en-US" w:eastAsia="zh-CN"/>
              </w:rPr>
              <w:t>84</w:t>
            </w:r>
          </w:p>
        </w:tc>
        <w:tc>
          <w:tcPr>
            <w:tcW w:w="1282" w:type="dxa"/>
            <w:noWrap w:val="0"/>
            <w:vAlign w:val="center"/>
          </w:tcPr>
          <w:p w14:paraId="478F858F">
            <w:pPr>
              <w:rPr>
                <w:rFonts w:hint="eastAsia" w:eastAsia="宋体"/>
                <w:color w:val="000000"/>
                <w:lang w:val="en-US" w:eastAsia="zh-CN"/>
              </w:rPr>
            </w:pPr>
            <w:r>
              <w:rPr>
                <w:color w:val="000000"/>
              </w:rPr>
              <w:t>0x</w:t>
            </w:r>
            <w:r>
              <w:rPr>
                <w:rFonts w:hint="eastAsia"/>
                <w:color w:val="000000"/>
              </w:rPr>
              <w:t>0</w:t>
            </w:r>
            <w:r>
              <w:rPr>
                <w:rFonts w:hint="eastAsia"/>
                <w:color w:val="000000"/>
                <w:lang w:val="en-US" w:eastAsia="zh-CN"/>
              </w:rPr>
              <w:t>A</w:t>
            </w:r>
          </w:p>
        </w:tc>
      </w:tr>
    </w:tbl>
    <w:p w14:paraId="26C41C0E">
      <w:pPr>
        <w:pStyle w:val="3"/>
        <w:ind w:left="0" w:leftChars="0" w:firstLine="0" w:firstLineChars="0"/>
        <w:rPr>
          <w:rFonts w:hint="eastAsia"/>
          <w:color w:val="000000"/>
          <w:lang w:eastAsia="zh-CN"/>
        </w:rPr>
      </w:pPr>
    </w:p>
    <w:p w14:paraId="2CEB234F">
      <w:pPr>
        <w:pStyle w:val="3"/>
        <w:ind w:firstLine="352" w:firstLineChars="147"/>
        <w:rPr>
          <w:rFonts w:hint="eastAsia"/>
          <w:color w:val="000000"/>
          <w:lang w:eastAsia="zh-CN"/>
        </w:rPr>
      </w:pPr>
      <w:r>
        <w:rPr>
          <w:color w:val="000000"/>
        </w:rPr>
        <w:t>应答帧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917"/>
        <w:gridCol w:w="1171"/>
        <w:gridCol w:w="1448"/>
        <w:gridCol w:w="1048"/>
        <w:gridCol w:w="1046"/>
      </w:tblGrid>
      <w:tr w14:paraId="2FD7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79" w:type="dxa"/>
            <w:noWrap w:val="0"/>
            <w:vAlign w:val="center"/>
          </w:tcPr>
          <w:p w14:paraId="45EFFAC4">
            <w:pPr>
              <w:rPr>
                <w:color w:val="000000"/>
              </w:rPr>
            </w:pPr>
            <w:r>
              <w:rPr>
                <w:color w:val="000000"/>
              </w:rPr>
              <w:t>地址码</w:t>
            </w:r>
          </w:p>
        </w:tc>
        <w:tc>
          <w:tcPr>
            <w:tcW w:w="917" w:type="dxa"/>
            <w:noWrap w:val="0"/>
            <w:vAlign w:val="center"/>
          </w:tcPr>
          <w:p w14:paraId="11119EC0">
            <w:pPr>
              <w:rPr>
                <w:color w:val="000000"/>
              </w:rPr>
            </w:pPr>
            <w:r>
              <w:rPr>
                <w:color w:val="000000"/>
              </w:rPr>
              <w:t>功能码</w:t>
            </w:r>
          </w:p>
        </w:tc>
        <w:tc>
          <w:tcPr>
            <w:tcW w:w="1171" w:type="dxa"/>
            <w:noWrap w:val="0"/>
            <w:vAlign w:val="center"/>
          </w:tcPr>
          <w:p w14:paraId="6D46B912">
            <w:pPr>
              <w:rPr>
                <w:color w:val="000000"/>
              </w:rPr>
            </w:pPr>
            <w:r>
              <w:rPr>
                <w:color w:val="000000"/>
              </w:rPr>
              <w:t>有效字数</w:t>
            </w:r>
          </w:p>
        </w:tc>
        <w:tc>
          <w:tcPr>
            <w:tcW w:w="1448" w:type="dxa"/>
            <w:noWrap w:val="0"/>
            <w:vAlign w:val="center"/>
          </w:tcPr>
          <w:p w14:paraId="45E4FF6E">
            <w:pPr>
              <w:rPr>
                <w:color w:val="000000"/>
              </w:rPr>
            </w:pPr>
            <w:r>
              <w:rPr>
                <w:rFonts w:hint="eastAsia"/>
                <w:color w:val="000000"/>
                <w:lang w:val="en-US" w:eastAsia="zh-CN"/>
              </w:rPr>
              <w:t>流速</w:t>
            </w:r>
            <w:r>
              <w:rPr>
                <w:rFonts w:hint="eastAsia"/>
                <w:color w:val="000000"/>
              </w:rPr>
              <w:t>值</w:t>
            </w:r>
          </w:p>
        </w:tc>
        <w:tc>
          <w:tcPr>
            <w:tcW w:w="1048" w:type="dxa"/>
            <w:noWrap w:val="0"/>
            <w:vAlign w:val="center"/>
          </w:tcPr>
          <w:p w14:paraId="5D0ECE7C">
            <w:pPr>
              <w:rPr>
                <w:color w:val="000000"/>
              </w:rPr>
            </w:pPr>
            <w:r>
              <w:rPr>
                <w:color w:val="000000"/>
              </w:rPr>
              <w:t>校验码</w:t>
            </w:r>
          </w:p>
          <w:p w14:paraId="5C1EF937">
            <w:pPr>
              <w:rPr>
                <w:color w:val="000000"/>
              </w:rPr>
            </w:pPr>
            <w:r>
              <w:rPr>
                <w:color w:val="000000"/>
              </w:rPr>
              <w:t>低位</w:t>
            </w:r>
          </w:p>
        </w:tc>
        <w:tc>
          <w:tcPr>
            <w:tcW w:w="1046" w:type="dxa"/>
            <w:noWrap w:val="0"/>
            <w:vAlign w:val="center"/>
          </w:tcPr>
          <w:p w14:paraId="4421E2E3">
            <w:pPr>
              <w:rPr>
                <w:color w:val="000000"/>
              </w:rPr>
            </w:pPr>
            <w:r>
              <w:rPr>
                <w:color w:val="000000"/>
              </w:rPr>
              <w:t>校验码</w:t>
            </w:r>
          </w:p>
          <w:p w14:paraId="3EB5AADE">
            <w:pPr>
              <w:rPr>
                <w:color w:val="000000"/>
              </w:rPr>
            </w:pPr>
            <w:r>
              <w:rPr>
                <w:color w:val="000000"/>
              </w:rPr>
              <w:t>低位</w:t>
            </w:r>
          </w:p>
        </w:tc>
      </w:tr>
      <w:tr w14:paraId="72100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79" w:type="dxa"/>
            <w:noWrap w:val="0"/>
            <w:vAlign w:val="top"/>
          </w:tcPr>
          <w:p w14:paraId="2EF88DA0">
            <w:pPr>
              <w:rPr>
                <w:color w:val="000000"/>
              </w:rPr>
            </w:pPr>
            <w:r>
              <w:rPr>
                <w:color w:val="000000"/>
              </w:rPr>
              <w:t>0x01</w:t>
            </w:r>
          </w:p>
        </w:tc>
        <w:tc>
          <w:tcPr>
            <w:tcW w:w="917" w:type="dxa"/>
            <w:noWrap w:val="0"/>
            <w:vAlign w:val="top"/>
          </w:tcPr>
          <w:p w14:paraId="06C22B0A">
            <w:pPr>
              <w:rPr>
                <w:color w:val="000000"/>
              </w:rPr>
            </w:pPr>
            <w:r>
              <w:rPr>
                <w:color w:val="000000"/>
              </w:rPr>
              <w:t>0x03</w:t>
            </w:r>
          </w:p>
        </w:tc>
        <w:tc>
          <w:tcPr>
            <w:tcW w:w="1171" w:type="dxa"/>
            <w:noWrap w:val="0"/>
            <w:vAlign w:val="top"/>
          </w:tcPr>
          <w:p w14:paraId="6F83CF0D">
            <w:pPr>
              <w:rPr>
                <w:color w:val="000000"/>
              </w:rPr>
            </w:pPr>
            <w:r>
              <w:rPr>
                <w:color w:val="000000"/>
              </w:rPr>
              <w:t>0x0</w:t>
            </w:r>
            <w:r>
              <w:rPr>
                <w:rFonts w:hint="eastAsia"/>
                <w:color w:val="000000"/>
              </w:rPr>
              <w:t>2</w:t>
            </w:r>
          </w:p>
        </w:tc>
        <w:tc>
          <w:tcPr>
            <w:tcW w:w="1448" w:type="dxa"/>
            <w:noWrap w:val="0"/>
            <w:vAlign w:val="top"/>
          </w:tcPr>
          <w:p w14:paraId="0BBC7568">
            <w:pPr>
              <w:rPr>
                <w:rFonts w:hint="eastAsia" w:eastAsia="宋体"/>
                <w:color w:val="000000"/>
                <w:lang w:val="en-US" w:eastAsia="zh-CN"/>
              </w:rPr>
            </w:pPr>
            <w:r>
              <w:rPr>
                <w:color w:val="000000"/>
              </w:rPr>
              <w:t>0x</w:t>
            </w:r>
            <w:r>
              <w:rPr>
                <w:rFonts w:hint="eastAsia"/>
                <w:color w:val="000000"/>
              </w:rPr>
              <w:t>0</w:t>
            </w:r>
            <w:r>
              <w:rPr>
                <w:rFonts w:hint="eastAsia"/>
                <w:color w:val="000000"/>
                <w:lang w:val="en-US" w:eastAsia="zh-CN"/>
              </w:rPr>
              <w:t>0</w:t>
            </w:r>
          </w:p>
          <w:p w14:paraId="01595F7B">
            <w:pPr>
              <w:rPr>
                <w:color w:val="000000"/>
              </w:rPr>
            </w:pPr>
            <w:r>
              <w:rPr>
                <w:color w:val="000000"/>
              </w:rPr>
              <w:t>0x2a</w:t>
            </w:r>
          </w:p>
        </w:tc>
        <w:tc>
          <w:tcPr>
            <w:tcW w:w="1048" w:type="dxa"/>
            <w:noWrap w:val="0"/>
            <w:vAlign w:val="top"/>
          </w:tcPr>
          <w:p w14:paraId="291116E8">
            <w:pPr>
              <w:rPr>
                <w:color w:val="000000"/>
              </w:rPr>
            </w:pPr>
            <w:r>
              <w:rPr>
                <w:color w:val="000000"/>
              </w:rPr>
              <w:t>0x</w:t>
            </w:r>
            <w:r>
              <w:rPr>
                <w:rFonts w:hint="eastAsia"/>
                <w:color w:val="000000"/>
              </w:rPr>
              <w:t>4D</w:t>
            </w:r>
          </w:p>
        </w:tc>
        <w:tc>
          <w:tcPr>
            <w:tcW w:w="1046" w:type="dxa"/>
            <w:noWrap w:val="0"/>
            <w:vAlign w:val="top"/>
          </w:tcPr>
          <w:p w14:paraId="0A38D28B">
            <w:pPr>
              <w:rPr>
                <w:color w:val="000000"/>
              </w:rPr>
            </w:pPr>
            <w:r>
              <w:rPr>
                <w:color w:val="000000"/>
              </w:rPr>
              <w:t>0x</w:t>
            </w:r>
            <w:r>
              <w:rPr>
                <w:rFonts w:hint="eastAsia"/>
                <w:color w:val="000000"/>
              </w:rPr>
              <w:t>BC</w:t>
            </w:r>
          </w:p>
        </w:tc>
      </w:tr>
    </w:tbl>
    <w:p w14:paraId="644339B0">
      <w:pPr>
        <w:pStyle w:val="3"/>
        <w:ind w:left="0" w:leftChars="0" w:firstLine="240" w:firstLineChars="100"/>
        <w:rPr>
          <w:rFonts w:hint="default"/>
          <w:lang w:val="en-US" w:eastAsia="zh-CN"/>
        </w:rPr>
      </w:pPr>
      <w:r>
        <w:rPr>
          <w:rFonts w:hint="eastAsia"/>
          <w:lang w:val="en-US" w:eastAsia="zh-CN"/>
        </w:rPr>
        <w:t xml:space="preserve">                               表8</w:t>
      </w:r>
    </w:p>
    <w:p w14:paraId="5678A427">
      <w:pPr>
        <w:pStyle w:val="3"/>
        <w:ind w:left="0" w:leftChars="0" w:firstLine="240" w:firstLineChars="100"/>
        <w:rPr>
          <w:rFonts w:hint="eastAsia"/>
        </w:rPr>
      </w:pPr>
      <w:r>
        <w:rPr>
          <w:rFonts w:hint="eastAsia"/>
          <w:lang w:val="en-US" w:eastAsia="zh-CN"/>
        </w:rPr>
        <w:t>流速</w:t>
      </w:r>
      <w:r>
        <w:rPr>
          <w:rFonts w:hint="eastAsia"/>
          <w:lang w:eastAsia="zh-CN"/>
        </w:rPr>
        <w:t>值</w:t>
      </w:r>
      <w:r>
        <w:rPr>
          <w:rFonts w:hint="eastAsia"/>
        </w:rPr>
        <w:t>：</w:t>
      </w:r>
    </w:p>
    <w:p w14:paraId="29A14B38">
      <w:pPr>
        <w:pStyle w:val="3"/>
        <w:rPr>
          <w:rFonts w:hint="eastAsia"/>
          <w:lang w:val="en-US" w:eastAsia="zh-CN"/>
        </w:rPr>
      </w:pPr>
      <w:r>
        <w:rPr>
          <w:rFonts w:hint="eastAsia"/>
          <w:lang w:val="en-US" w:eastAsia="zh-CN"/>
        </w:rPr>
        <w:t>002A</w:t>
      </w:r>
      <w:r>
        <w:rPr>
          <w:rFonts w:hint="eastAsia"/>
        </w:rPr>
        <w:t>(十六进制)=</w:t>
      </w:r>
      <w:r>
        <w:rPr>
          <w:rFonts w:hint="eastAsia"/>
          <w:lang w:val="en-US" w:eastAsia="zh-CN"/>
        </w:rPr>
        <w:t>42</w:t>
      </w:r>
      <w:r>
        <w:rPr>
          <w:rFonts w:hint="eastAsia"/>
        </w:rPr>
        <w:t>=&gt;</w:t>
      </w:r>
      <w:r>
        <w:rPr>
          <w:rFonts w:hint="eastAsia"/>
          <w:lang w:val="en-US" w:eastAsia="zh-CN"/>
        </w:rPr>
        <w:t>流速</w:t>
      </w:r>
      <w:r>
        <w:rPr>
          <w:rFonts w:hint="eastAsia"/>
        </w:rPr>
        <w:t>=</w:t>
      </w:r>
      <w:r>
        <w:rPr>
          <w:rFonts w:hint="eastAsia"/>
          <w:lang w:val="en-US" w:eastAsia="zh-CN"/>
        </w:rPr>
        <w:t>4.2m/s</w:t>
      </w:r>
    </w:p>
    <w:p w14:paraId="3FF4AFCF">
      <w:pPr>
        <w:keepNext w:val="0"/>
        <w:keepLines w:val="0"/>
        <w:pageBreakBefore w:val="0"/>
        <w:widowControl w:val="0"/>
        <w:numPr>
          <w:ilvl w:val="0"/>
          <w:numId w:val="0"/>
        </w:numPr>
        <w:kinsoku/>
        <w:wordWrap/>
        <w:overflowPunct/>
        <w:topLinePunct w:val="0"/>
        <w:autoSpaceDE/>
        <w:autoSpaceDN/>
        <w:bidi w:val="0"/>
        <w:adjustRightInd/>
        <w:snapToGrid/>
        <w:ind w:leftChars="0" w:firstLine="280" w:firstLineChars="100"/>
        <w:jc w:val="both"/>
        <w:textAlignment w:val="auto"/>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4.4.3读取设备地址0x01的瞬时流量值</w:t>
      </w:r>
    </w:p>
    <w:p w14:paraId="551914DE">
      <w:pPr>
        <w:pStyle w:val="3"/>
        <w:ind w:firstLine="352" w:firstLineChars="147"/>
        <w:rPr>
          <w:color w:val="000000"/>
        </w:rPr>
      </w:pPr>
      <w:r>
        <w:rPr>
          <w:color w:val="000000"/>
        </w:rPr>
        <w:t>问询帧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0"/>
        <w:gridCol w:w="1331"/>
        <w:gridCol w:w="1277"/>
        <w:gridCol w:w="1108"/>
        <w:gridCol w:w="1282"/>
      </w:tblGrid>
      <w:tr w14:paraId="28B5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noWrap w:val="0"/>
            <w:vAlign w:val="center"/>
          </w:tcPr>
          <w:p w14:paraId="17EC47FC">
            <w:pPr>
              <w:rPr>
                <w:color w:val="000000"/>
              </w:rPr>
            </w:pPr>
            <w:r>
              <w:rPr>
                <w:color w:val="000000"/>
              </w:rPr>
              <w:t>地址码</w:t>
            </w:r>
          </w:p>
        </w:tc>
        <w:tc>
          <w:tcPr>
            <w:tcW w:w="860" w:type="dxa"/>
            <w:noWrap w:val="0"/>
            <w:vAlign w:val="center"/>
          </w:tcPr>
          <w:p w14:paraId="22984508">
            <w:pPr>
              <w:rPr>
                <w:color w:val="000000"/>
              </w:rPr>
            </w:pPr>
            <w:r>
              <w:rPr>
                <w:color w:val="000000"/>
              </w:rPr>
              <w:t>功能码</w:t>
            </w:r>
          </w:p>
        </w:tc>
        <w:tc>
          <w:tcPr>
            <w:tcW w:w="1331" w:type="dxa"/>
            <w:noWrap w:val="0"/>
            <w:vAlign w:val="center"/>
          </w:tcPr>
          <w:p w14:paraId="745DE73F">
            <w:pPr>
              <w:rPr>
                <w:color w:val="000000"/>
              </w:rPr>
            </w:pPr>
            <w:r>
              <w:rPr>
                <w:color w:val="000000"/>
              </w:rPr>
              <w:t>起始地址</w:t>
            </w:r>
          </w:p>
        </w:tc>
        <w:tc>
          <w:tcPr>
            <w:tcW w:w="1277" w:type="dxa"/>
            <w:noWrap w:val="0"/>
            <w:vAlign w:val="center"/>
          </w:tcPr>
          <w:p w14:paraId="1CB6BB9E">
            <w:pPr>
              <w:rPr>
                <w:color w:val="000000"/>
              </w:rPr>
            </w:pPr>
            <w:r>
              <w:rPr>
                <w:color w:val="000000"/>
              </w:rPr>
              <w:t>数据长度</w:t>
            </w:r>
          </w:p>
        </w:tc>
        <w:tc>
          <w:tcPr>
            <w:tcW w:w="1108" w:type="dxa"/>
            <w:noWrap w:val="0"/>
            <w:vAlign w:val="center"/>
          </w:tcPr>
          <w:p w14:paraId="5FA510D7">
            <w:pPr>
              <w:rPr>
                <w:color w:val="000000"/>
              </w:rPr>
            </w:pPr>
            <w:r>
              <w:rPr>
                <w:color w:val="000000"/>
              </w:rPr>
              <w:t>校验码低位</w:t>
            </w:r>
          </w:p>
        </w:tc>
        <w:tc>
          <w:tcPr>
            <w:tcW w:w="1282" w:type="dxa"/>
            <w:noWrap w:val="0"/>
            <w:vAlign w:val="center"/>
          </w:tcPr>
          <w:p w14:paraId="069D53BA">
            <w:pPr>
              <w:rPr>
                <w:color w:val="000000"/>
              </w:rPr>
            </w:pPr>
            <w:r>
              <w:rPr>
                <w:color w:val="000000"/>
              </w:rPr>
              <w:t>校验码高位</w:t>
            </w:r>
          </w:p>
        </w:tc>
      </w:tr>
      <w:tr w14:paraId="60260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noWrap w:val="0"/>
            <w:vAlign w:val="center"/>
          </w:tcPr>
          <w:p w14:paraId="1A13590D">
            <w:pPr>
              <w:rPr>
                <w:color w:val="000000"/>
              </w:rPr>
            </w:pPr>
            <w:r>
              <w:rPr>
                <w:color w:val="000000"/>
              </w:rPr>
              <w:t>0x01</w:t>
            </w:r>
          </w:p>
        </w:tc>
        <w:tc>
          <w:tcPr>
            <w:tcW w:w="860" w:type="dxa"/>
            <w:noWrap w:val="0"/>
            <w:vAlign w:val="center"/>
          </w:tcPr>
          <w:p w14:paraId="3AE910F7">
            <w:pPr>
              <w:rPr>
                <w:color w:val="000000"/>
              </w:rPr>
            </w:pPr>
            <w:r>
              <w:rPr>
                <w:color w:val="000000"/>
              </w:rPr>
              <w:t>0x03</w:t>
            </w:r>
          </w:p>
        </w:tc>
        <w:tc>
          <w:tcPr>
            <w:tcW w:w="1331" w:type="dxa"/>
            <w:noWrap w:val="0"/>
            <w:vAlign w:val="center"/>
          </w:tcPr>
          <w:p w14:paraId="55F5E996">
            <w:pPr>
              <w:rPr>
                <w:rFonts w:hint="eastAsia" w:eastAsia="宋体"/>
                <w:color w:val="000000"/>
                <w:lang w:val="en-US" w:eastAsia="zh-CN"/>
              </w:rPr>
            </w:pPr>
            <w:r>
              <w:rPr>
                <w:color w:val="000000"/>
              </w:rPr>
              <w:t>0x00,0x0</w:t>
            </w:r>
            <w:r>
              <w:rPr>
                <w:rFonts w:hint="eastAsia"/>
                <w:color w:val="000000"/>
                <w:lang w:val="en-US" w:eastAsia="zh-CN"/>
              </w:rPr>
              <w:t>1</w:t>
            </w:r>
          </w:p>
        </w:tc>
        <w:tc>
          <w:tcPr>
            <w:tcW w:w="1277" w:type="dxa"/>
            <w:noWrap w:val="0"/>
            <w:vAlign w:val="center"/>
          </w:tcPr>
          <w:p w14:paraId="0139F956">
            <w:pPr>
              <w:rPr>
                <w:rFonts w:hint="eastAsia" w:eastAsia="宋体"/>
                <w:color w:val="000000"/>
                <w:lang w:val="en-US" w:eastAsia="zh-CN"/>
              </w:rPr>
            </w:pPr>
            <w:r>
              <w:rPr>
                <w:color w:val="000000"/>
              </w:rPr>
              <w:t>0x00,0x0</w:t>
            </w:r>
            <w:r>
              <w:rPr>
                <w:rFonts w:hint="eastAsia"/>
                <w:color w:val="000000"/>
                <w:lang w:val="en-US" w:eastAsia="zh-CN"/>
              </w:rPr>
              <w:t>1</w:t>
            </w:r>
          </w:p>
        </w:tc>
        <w:tc>
          <w:tcPr>
            <w:tcW w:w="1108" w:type="dxa"/>
            <w:noWrap w:val="0"/>
            <w:vAlign w:val="center"/>
          </w:tcPr>
          <w:p w14:paraId="7AAC125F">
            <w:pPr>
              <w:rPr>
                <w:rFonts w:hint="default" w:eastAsia="宋体"/>
                <w:color w:val="000000"/>
                <w:lang w:val="en-US" w:eastAsia="zh-CN"/>
              </w:rPr>
            </w:pPr>
            <w:r>
              <w:rPr>
                <w:color w:val="000000"/>
              </w:rPr>
              <w:t>0</w:t>
            </w:r>
            <w:r>
              <w:rPr>
                <w:rFonts w:hint="eastAsia"/>
                <w:color w:val="000000"/>
              </w:rPr>
              <w:t>x</w:t>
            </w:r>
            <w:r>
              <w:rPr>
                <w:rFonts w:hint="eastAsia"/>
                <w:color w:val="000000"/>
                <w:lang w:val="en-US" w:eastAsia="zh-CN"/>
              </w:rPr>
              <w:t>D5</w:t>
            </w:r>
          </w:p>
        </w:tc>
        <w:tc>
          <w:tcPr>
            <w:tcW w:w="1282" w:type="dxa"/>
            <w:noWrap w:val="0"/>
            <w:vAlign w:val="center"/>
          </w:tcPr>
          <w:p w14:paraId="32928845">
            <w:pPr>
              <w:rPr>
                <w:rFonts w:hint="eastAsia" w:eastAsia="宋体"/>
                <w:color w:val="000000"/>
                <w:lang w:val="en-US" w:eastAsia="zh-CN"/>
              </w:rPr>
            </w:pPr>
            <w:r>
              <w:rPr>
                <w:color w:val="000000"/>
              </w:rPr>
              <w:t>0x</w:t>
            </w:r>
            <w:r>
              <w:rPr>
                <w:rFonts w:hint="eastAsia"/>
                <w:color w:val="000000"/>
                <w:lang w:val="en-US" w:eastAsia="zh-CN"/>
              </w:rPr>
              <w:t>CA</w:t>
            </w:r>
          </w:p>
        </w:tc>
      </w:tr>
    </w:tbl>
    <w:p w14:paraId="698B638D">
      <w:pPr>
        <w:pStyle w:val="3"/>
        <w:ind w:left="0" w:leftChars="0" w:firstLine="0" w:firstLineChars="0"/>
        <w:rPr>
          <w:rFonts w:hint="eastAsia"/>
          <w:color w:val="000000"/>
          <w:lang w:eastAsia="zh-CN"/>
        </w:rPr>
      </w:pPr>
    </w:p>
    <w:p w14:paraId="07D094CF">
      <w:pPr>
        <w:pStyle w:val="3"/>
        <w:ind w:firstLine="352" w:firstLineChars="147"/>
        <w:rPr>
          <w:rFonts w:hint="eastAsia"/>
          <w:color w:val="000000"/>
          <w:lang w:eastAsia="zh-CN"/>
        </w:rPr>
      </w:pPr>
      <w:r>
        <w:rPr>
          <w:color w:val="000000"/>
        </w:rPr>
        <w:t>应答帧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917"/>
        <w:gridCol w:w="1171"/>
        <w:gridCol w:w="1448"/>
        <w:gridCol w:w="1048"/>
        <w:gridCol w:w="1046"/>
      </w:tblGrid>
      <w:tr w14:paraId="675EA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79" w:type="dxa"/>
            <w:noWrap w:val="0"/>
            <w:vAlign w:val="center"/>
          </w:tcPr>
          <w:p w14:paraId="1EC5E5BB">
            <w:pPr>
              <w:rPr>
                <w:color w:val="000000"/>
              </w:rPr>
            </w:pPr>
            <w:r>
              <w:rPr>
                <w:color w:val="000000"/>
              </w:rPr>
              <w:t>地址码</w:t>
            </w:r>
          </w:p>
        </w:tc>
        <w:tc>
          <w:tcPr>
            <w:tcW w:w="917" w:type="dxa"/>
            <w:noWrap w:val="0"/>
            <w:vAlign w:val="center"/>
          </w:tcPr>
          <w:p w14:paraId="6A04E8C2">
            <w:pPr>
              <w:rPr>
                <w:color w:val="000000"/>
              </w:rPr>
            </w:pPr>
            <w:r>
              <w:rPr>
                <w:color w:val="000000"/>
              </w:rPr>
              <w:t>功能码</w:t>
            </w:r>
          </w:p>
        </w:tc>
        <w:tc>
          <w:tcPr>
            <w:tcW w:w="1171" w:type="dxa"/>
            <w:noWrap w:val="0"/>
            <w:vAlign w:val="center"/>
          </w:tcPr>
          <w:p w14:paraId="56543229">
            <w:pPr>
              <w:rPr>
                <w:color w:val="000000"/>
              </w:rPr>
            </w:pPr>
            <w:r>
              <w:rPr>
                <w:color w:val="000000"/>
              </w:rPr>
              <w:t>有效字数</w:t>
            </w:r>
          </w:p>
        </w:tc>
        <w:tc>
          <w:tcPr>
            <w:tcW w:w="1448" w:type="dxa"/>
            <w:noWrap w:val="0"/>
            <w:vAlign w:val="center"/>
          </w:tcPr>
          <w:p w14:paraId="0B0F5CDF">
            <w:pPr>
              <w:rPr>
                <w:color w:val="000000"/>
              </w:rPr>
            </w:pPr>
            <w:r>
              <w:rPr>
                <w:rFonts w:hint="eastAsia"/>
                <w:color w:val="000000"/>
                <w:lang w:val="en-US" w:eastAsia="zh-CN"/>
              </w:rPr>
              <w:t>瞬时流量</w:t>
            </w:r>
            <w:r>
              <w:rPr>
                <w:rFonts w:hint="eastAsia"/>
                <w:color w:val="000000"/>
              </w:rPr>
              <w:t>值</w:t>
            </w:r>
          </w:p>
        </w:tc>
        <w:tc>
          <w:tcPr>
            <w:tcW w:w="1048" w:type="dxa"/>
            <w:noWrap w:val="0"/>
            <w:vAlign w:val="center"/>
          </w:tcPr>
          <w:p w14:paraId="6BC824F9">
            <w:pPr>
              <w:rPr>
                <w:color w:val="000000"/>
              </w:rPr>
            </w:pPr>
            <w:r>
              <w:rPr>
                <w:color w:val="000000"/>
              </w:rPr>
              <w:t>校验码</w:t>
            </w:r>
          </w:p>
          <w:p w14:paraId="77DBF95D">
            <w:pPr>
              <w:rPr>
                <w:color w:val="000000"/>
              </w:rPr>
            </w:pPr>
            <w:r>
              <w:rPr>
                <w:color w:val="000000"/>
              </w:rPr>
              <w:t>低位</w:t>
            </w:r>
          </w:p>
        </w:tc>
        <w:tc>
          <w:tcPr>
            <w:tcW w:w="1046" w:type="dxa"/>
            <w:noWrap w:val="0"/>
            <w:vAlign w:val="center"/>
          </w:tcPr>
          <w:p w14:paraId="64EA965C">
            <w:pPr>
              <w:rPr>
                <w:color w:val="000000"/>
              </w:rPr>
            </w:pPr>
            <w:r>
              <w:rPr>
                <w:color w:val="000000"/>
              </w:rPr>
              <w:t>校验码</w:t>
            </w:r>
          </w:p>
          <w:p w14:paraId="5C508635">
            <w:pPr>
              <w:rPr>
                <w:color w:val="000000"/>
              </w:rPr>
            </w:pPr>
            <w:r>
              <w:rPr>
                <w:color w:val="000000"/>
              </w:rPr>
              <w:t>低位</w:t>
            </w:r>
          </w:p>
        </w:tc>
      </w:tr>
      <w:tr w14:paraId="2BE5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79" w:type="dxa"/>
            <w:noWrap w:val="0"/>
            <w:vAlign w:val="top"/>
          </w:tcPr>
          <w:p w14:paraId="52D3D3AA">
            <w:pPr>
              <w:rPr>
                <w:color w:val="000000"/>
              </w:rPr>
            </w:pPr>
            <w:r>
              <w:rPr>
                <w:color w:val="000000"/>
              </w:rPr>
              <w:t>0x01</w:t>
            </w:r>
          </w:p>
        </w:tc>
        <w:tc>
          <w:tcPr>
            <w:tcW w:w="917" w:type="dxa"/>
            <w:noWrap w:val="0"/>
            <w:vAlign w:val="top"/>
          </w:tcPr>
          <w:p w14:paraId="5E355FEC">
            <w:pPr>
              <w:rPr>
                <w:color w:val="000000"/>
              </w:rPr>
            </w:pPr>
            <w:r>
              <w:rPr>
                <w:color w:val="000000"/>
              </w:rPr>
              <w:t>0x03</w:t>
            </w:r>
          </w:p>
        </w:tc>
        <w:tc>
          <w:tcPr>
            <w:tcW w:w="1171" w:type="dxa"/>
            <w:noWrap w:val="0"/>
            <w:vAlign w:val="top"/>
          </w:tcPr>
          <w:p w14:paraId="3DF0979C">
            <w:pPr>
              <w:rPr>
                <w:color w:val="000000"/>
              </w:rPr>
            </w:pPr>
            <w:r>
              <w:rPr>
                <w:color w:val="000000"/>
              </w:rPr>
              <w:t>0x0</w:t>
            </w:r>
            <w:r>
              <w:rPr>
                <w:rFonts w:hint="eastAsia"/>
                <w:color w:val="000000"/>
              </w:rPr>
              <w:t>2</w:t>
            </w:r>
          </w:p>
        </w:tc>
        <w:tc>
          <w:tcPr>
            <w:tcW w:w="1448" w:type="dxa"/>
            <w:noWrap w:val="0"/>
            <w:vAlign w:val="top"/>
          </w:tcPr>
          <w:p w14:paraId="37C51358">
            <w:pPr>
              <w:rPr>
                <w:rFonts w:hint="eastAsia" w:eastAsia="宋体"/>
                <w:color w:val="000000"/>
                <w:lang w:val="en-US" w:eastAsia="zh-CN"/>
              </w:rPr>
            </w:pPr>
            <w:r>
              <w:rPr>
                <w:color w:val="000000"/>
              </w:rPr>
              <w:t>0x</w:t>
            </w:r>
            <w:r>
              <w:rPr>
                <w:rFonts w:hint="eastAsia"/>
                <w:color w:val="000000"/>
              </w:rPr>
              <w:t>0</w:t>
            </w:r>
            <w:r>
              <w:rPr>
                <w:rFonts w:hint="eastAsia"/>
                <w:color w:val="000000"/>
                <w:lang w:val="en-US" w:eastAsia="zh-CN"/>
              </w:rPr>
              <w:t>1</w:t>
            </w:r>
          </w:p>
          <w:p w14:paraId="52DB4AD8">
            <w:pPr>
              <w:rPr>
                <w:color w:val="000000"/>
              </w:rPr>
            </w:pPr>
            <w:r>
              <w:rPr>
                <w:color w:val="000000"/>
              </w:rPr>
              <w:t>0x2a</w:t>
            </w:r>
          </w:p>
        </w:tc>
        <w:tc>
          <w:tcPr>
            <w:tcW w:w="1048" w:type="dxa"/>
            <w:noWrap w:val="0"/>
            <w:vAlign w:val="top"/>
          </w:tcPr>
          <w:p w14:paraId="3391F4F5">
            <w:pPr>
              <w:rPr>
                <w:rFonts w:hint="default" w:eastAsia="宋体"/>
                <w:color w:val="000000"/>
                <w:lang w:val="en-US" w:eastAsia="zh-CN"/>
              </w:rPr>
            </w:pPr>
            <w:r>
              <w:rPr>
                <w:color w:val="000000"/>
              </w:rPr>
              <w:t>0x</w:t>
            </w:r>
            <w:r>
              <w:rPr>
                <w:rFonts w:hint="eastAsia"/>
                <w:color w:val="000000"/>
                <w:lang w:val="en-US" w:eastAsia="zh-CN"/>
              </w:rPr>
              <w:t>64</w:t>
            </w:r>
          </w:p>
        </w:tc>
        <w:tc>
          <w:tcPr>
            <w:tcW w:w="1046" w:type="dxa"/>
            <w:noWrap w:val="0"/>
            <w:vAlign w:val="top"/>
          </w:tcPr>
          <w:p w14:paraId="54250B84">
            <w:pPr>
              <w:rPr>
                <w:rFonts w:hint="default" w:eastAsia="宋体"/>
                <w:color w:val="000000"/>
                <w:lang w:val="en-US" w:eastAsia="zh-CN"/>
              </w:rPr>
            </w:pPr>
            <w:r>
              <w:rPr>
                <w:color w:val="000000"/>
              </w:rPr>
              <w:t>0x</w:t>
            </w:r>
            <w:r>
              <w:rPr>
                <w:rFonts w:hint="eastAsia"/>
                <w:color w:val="000000"/>
                <w:lang w:val="en-US" w:eastAsia="zh-CN"/>
              </w:rPr>
              <w:t>45</w:t>
            </w:r>
          </w:p>
        </w:tc>
      </w:tr>
    </w:tbl>
    <w:p w14:paraId="2C691D7A">
      <w:pPr>
        <w:pStyle w:val="3"/>
        <w:ind w:left="0" w:leftChars="0" w:firstLine="240" w:firstLineChars="100"/>
        <w:rPr>
          <w:rFonts w:hint="default"/>
          <w:lang w:val="en-US" w:eastAsia="zh-CN"/>
        </w:rPr>
      </w:pPr>
      <w:r>
        <w:rPr>
          <w:rFonts w:hint="eastAsia"/>
          <w:lang w:val="en-US" w:eastAsia="zh-CN"/>
        </w:rPr>
        <w:t xml:space="preserve">                              表9</w:t>
      </w:r>
    </w:p>
    <w:p w14:paraId="09EE9224">
      <w:pPr>
        <w:pStyle w:val="3"/>
        <w:ind w:left="0" w:leftChars="0" w:firstLine="240" w:firstLineChars="100"/>
        <w:rPr>
          <w:rFonts w:hint="eastAsia"/>
        </w:rPr>
      </w:pPr>
      <w:r>
        <w:rPr>
          <w:rFonts w:hint="eastAsia"/>
          <w:lang w:val="en-US" w:eastAsia="zh-CN"/>
        </w:rPr>
        <w:t>瞬时流量</w:t>
      </w:r>
      <w:r>
        <w:rPr>
          <w:rFonts w:hint="eastAsia"/>
          <w:lang w:eastAsia="zh-CN"/>
        </w:rPr>
        <w:t>值</w:t>
      </w:r>
      <w:r>
        <w:rPr>
          <w:rFonts w:hint="eastAsia"/>
        </w:rPr>
        <w:t>：</w:t>
      </w:r>
    </w:p>
    <w:p w14:paraId="1A59EAEF">
      <w:pPr>
        <w:pStyle w:val="3"/>
        <w:rPr>
          <w:color w:val="000000"/>
        </w:rPr>
      </w:pPr>
      <w:r>
        <w:rPr>
          <w:rFonts w:hint="eastAsia"/>
          <w:lang w:val="en-US" w:eastAsia="zh-CN"/>
        </w:rPr>
        <w:t>012A</w:t>
      </w:r>
      <w:r>
        <w:rPr>
          <w:rFonts w:hint="eastAsia"/>
        </w:rPr>
        <w:t>(十六进制)=</w:t>
      </w:r>
      <w:r>
        <w:rPr>
          <w:rFonts w:hint="eastAsia"/>
          <w:lang w:val="en-US" w:eastAsia="zh-CN"/>
        </w:rPr>
        <w:t>298</w:t>
      </w:r>
      <w:r>
        <w:rPr>
          <w:rFonts w:hint="eastAsia"/>
        </w:rPr>
        <w:t>=&gt;</w:t>
      </w:r>
      <w:r>
        <w:rPr>
          <w:rFonts w:hint="eastAsia"/>
          <w:lang w:val="en-US" w:eastAsia="zh-CN"/>
        </w:rPr>
        <w:t>流量</w:t>
      </w:r>
      <w:r>
        <w:rPr>
          <w:rFonts w:hint="eastAsia"/>
        </w:rPr>
        <w:t>=</w:t>
      </w:r>
      <w:r>
        <w:rPr>
          <w:rFonts w:hint="eastAsia"/>
          <w:lang w:val="en-US" w:eastAsia="zh-CN"/>
        </w:rPr>
        <w:t>29.8m/s</w:t>
      </w:r>
    </w:p>
    <w:p w14:paraId="654BD6BB">
      <w:pPr>
        <w:keepNext w:val="0"/>
        <w:keepLines w:val="0"/>
        <w:pageBreakBefore w:val="0"/>
        <w:widowControl w:val="0"/>
        <w:numPr>
          <w:ilvl w:val="0"/>
          <w:numId w:val="0"/>
        </w:numPr>
        <w:kinsoku/>
        <w:wordWrap/>
        <w:overflowPunct/>
        <w:topLinePunct w:val="0"/>
        <w:autoSpaceDE/>
        <w:autoSpaceDN/>
        <w:bidi w:val="0"/>
        <w:adjustRightInd/>
        <w:snapToGrid/>
        <w:ind w:leftChars="0" w:firstLine="280" w:firstLineChars="100"/>
        <w:jc w:val="both"/>
        <w:textAlignment w:val="auto"/>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4.4.4读取设备地址0x01的累计流量值</w:t>
      </w:r>
    </w:p>
    <w:p w14:paraId="7C25B724">
      <w:pPr>
        <w:pStyle w:val="3"/>
        <w:ind w:firstLine="352" w:firstLineChars="147"/>
        <w:rPr>
          <w:color w:val="000000"/>
        </w:rPr>
      </w:pPr>
      <w:r>
        <w:rPr>
          <w:color w:val="000000"/>
        </w:rPr>
        <w:t>问询帧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0"/>
        <w:gridCol w:w="1331"/>
        <w:gridCol w:w="1277"/>
        <w:gridCol w:w="1108"/>
        <w:gridCol w:w="1282"/>
      </w:tblGrid>
      <w:tr w14:paraId="781A2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noWrap w:val="0"/>
            <w:vAlign w:val="center"/>
          </w:tcPr>
          <w:p w14:paraId="4D38B2AE">
            <w:pPr>
              <w:rPr>
                <w:color w:val="000000"/>
              </w:rPr>
            </w:pPr>
            <w:r>
              <w:rPr>
                <w:color w:val="000000"/>
              </w:rPr>
              <w:t>地址码</w:t>
            </w:r>
          </w:p>
        </w:tc>
        <w:tc>
          <w:tcPr>
            <w:tcW w:w="860" w:type="dxa"/>
            <w:noWrap w:val="0"/>
            <w:vAlign w:val="center"/>
          </w:tcPr>
          <w:p w14:paraId="60C4BD6A">
            <w:pPr>
              <w:rPr>
                <w:color w:val="000000"/>
              </w:rPr>
            </w:pPr>
            <w:r>
              <w:rPr>
                <w:color w:val="000000"/>
              </w:rPr>
              <w:t>功能码</w:t>
            </w:r>
          </w:p>
        </w:tc>
        <w:tc>
          <w:tcPr>
            <w:tcW w:w="1331" w:type="dxa"/>
            <w:noWrap w:val="0"/>
            <w:vAlign w:val="center"/>
          </w:tcPr>
          <w:p w14:paraId="47A9F8E4">
            <w:pPr>
              <w:rPr>
                <w:color w:val="000000"/>
              </w:rPr>
            </w:pPr>
            <w:r>
              <w:rPr>
                <w:color w:val="000000"/>
              </w:rPr>
              <w:t>起始地址</w:t>
            </w:r>
          </w:p>
        </w:tc>
        <w:tc>
          <w:tcPr>
            <w:tcW w:w="1277" w:type="dxa"/>
            <w:noWrap w:val="0"/>
            <w:vAlign w:val="center"/>
          </w:tcPr>
          <w:p w14:paraId="7EF3AAE0">
            <w:pPr>
              <w:rPr>
                <w:color w:val="000000"/>
              </w:rPr>
            </w:pPr>
            <w:r>
              <w:rPr>
                <w:color w:val="000000"/>
              </w:rPr>
              <w:t>数据长度</w:t>
            </w:r>
          </w:p>
        </w:tc>
        <w:tc>
          <w:tcPr>
            <w:tcW w:w="1108" w:type="dxa"/>
            <w:noWrap w:val="0"/>
            <w:vAlign w:val="center"/>
          </w:tcPr>
          <w:p w14:paraId="2A2C388E">
            <w:pPr>
              <w:rPr>
                <w:color w:val="000000"/>
              </w:rPr>
            </w:pPr>
            <w:r>
              <w:rPr>
                <w:color w:val="000000"/>
              </w:rPr>
              <w:t>校验码低位</w:t>
            </w:r>
          </w:p>
        </w:tc>
        <w:tc>
          <w:tcPr>
            <w:tcW w:w="1282" w:type="dxa"/>
            <w:noWrap w:val="0"/>
            <w:vAlign w:val="center"/>
          </w:tcPr>
          <w:p w14:paraId="48D6939D">
            <w:pPr>
              <w:rPr>
                <w:color w:val="000000"/>
              </w:rPr>
            </w:pPr>
            <w:r>
              <w:rPr>
                <w:color w:val="000000"/>
              </w:rPr>
              <w:t>校验码高位</w:t>
            </w:r>
          </w:p>
        </w:tc>
      </w:tr>
      <w:tr w14:paraId="2CB0E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4" w:type="dxa"/>
            <w:noWrap w:val="0"/>
            <w:vAlign w:val="center"/>
          </w:tcPr>
          <w:p w14:paraId="51EFF010">
            <w:pPr>
              <w:rPr>
                <w:color w:val="000000"/>
              </w:rPr>
            </w:pPr>
            <w:r>
              <w:rPr>
                <w:color w:val="000000"/>
              </w:rPr>
              <w:t>0x01</w:t>
            </w:r>
          </w:p>
        </w:tc>
        <w:tc>
          <w:tcPr>
            <w:tcW w:w="860" w:type="dxa"/>
            <w:noWrap w:val="0"/>
            <w:vAlign w:val="center"/>
          </w:tcPr>
          <w:p w14:paraId="70497723">
            <w:pPr>
              <w:rPr>
                <w:color w:val="000000"/>
              </w:rPr>
            </w:pPr>
            <w:r>
              <w:rPr>
                <w:color w:val="000000"/>
              </w:rPr>
              <w:t>0x03</w:t>
            </w:r>
          </w:p>
        </w:tc>
        <w:tc>
          <w:tcPr>
            <w:tcW w:w="1331" w:type="dxa"/>
            <w:noWrap w:val="0"/>
            <w:vAlign w:val="center"/>
          </w:tcPr>
          <w:p w14:paraId="7A6632B2">
            <w:pPr>
              <w:rPr>
                <w:rFonts w:hint="eastAsia" w:eastAsia="宋体"/>
                <w:color w:val="000000"/>
                <w:lang w:val="en-US" w:eastAsia="zh-CN"/>
              </w:rPr>
            </w:pPr>
            <w:r>
              <w:rPr>
                <w:color w:val="000000"/>
              </w:rPr>
              <w:t>0x00,0x0</w:t>
            </w:r>
            <w:r>
              <w:rPr>
                <w:rFonts w:hint="eastAsia"/>
                <w:color w:val="000000"/>
                <w:lang w:val="en-US" w:eastAsia="zh-CN"/>
              </w:rPr>
              <w:t>2</w:t>
            </w:r>
          </w:p>
        </w:tc>
        <w:tc>
          <w:tcPr>
            <w:tcW w:w="1277" w:type="dxa"/>
            <w:noWrap w:val="0"/>
            <w:vAlign w:val="center"/>
          </w:tcPr>
          <w:p w14:paraId="2842D6CB">
            <w:pPr>
              <w:rPr>
                <w:rFonts w:hint="eastAsia" w:eastAsia="宋体"/>
                <w:color w:val="000000"/>
                <w:lang w:val="en-US" w:eastAsia="zh-CN"/>
              </w:rPr>
            </w:pPr>
            <w:r>
              <w:rPr>
                <w:color w:val="000000"/>
              </w:rPr>
              <w:t>0x00,0x0</w:t>
            </w:r>
            <w:r>
              <w:rPr>
                <w:rFonts w:hint="eastAsia"/>
                <w:color w:val="000000"/>
                <w:lang w:val="en-US" w:eastAsia="zh-CN"/>
              </w:rPr>
              <w:t>2</w:t>
            </w:r>
          </w:p>
        </w:tc>
        <w:tc>
          <w:tcPr>
            <w:tcW w:w="1108" w:type="dxa"/>
            <w:noWrap w:val="0"/>
            <w:vAlign w:val="center"/>
          </w:tcPr>
          <w:p w14:paraId="53BC31EC">
            <w:pPr>
              <w:rPr>
                <w:rFonts w:hint="default" w:eastAsia="宋体"/>
                <w:color w:val="000000"/>
                <w:lang w:val="en-US" w:eastAsia="zh-CN"/>
              </w:rPr>
            </w:pPr>
            <w:r>
              <w:rPr>
                <w:color w:val="000000"/>
              </w:rPr>
              <w:t>0</w:t>
            </w:r>
            <w:r>
              <w:rPr>
                <w:rFonts w:hint="eastAsia"/>
                <w:color w:val="000000"/>
              </w:rPr>
              <w:t>x</w:t>
            </w:r>
            <w:r>
              <w:rPr>
                <w:rFonts w:hint="eastAsia"/>
                <w:color w:val="000000"/>
                <w:lang w:val="en-US" w:eastAsia="zh-CN"/>
              </w:rPr>
              <w:t>65</w:t>
            </w:r>
          </w:p>
        </w:tc>
        <w:tc>
          <w:tcPr>
            <w:tcW w:w="1282" w:type="dxa"/>
            <w:noWrap w:val="0"/>
            <w:vAlign w:val="center"/>
          </w:tcPr>
          <w:p w14:paraId="03BDEC39">
            <w:pPr>
              <w:rPr>
                <w:rFonts w:hint="eastAsia" w:eastAsia="宋体"/>
                <w:color w:val="000000"/>
                <w:lang w:val="en-US" w:eastAsia="zh-CN"/>
              </w:rPr>
            </w:pPr>
            <w:r>
              <w:rPr>
                <w:color w:val="000000"/>
              </w:rPr>
              <w:t>0x</w:t>
            </w:r>
            <w:r>
              <w:rPr>
                <w:rFonts w:hint="eastAsia"/>
                <w:color w:val="000000"/>
                <w:lang w:val="en-US" w:eastAsia="zh-CN"/>
              </w:rPr>
              <w:t>CB</w:t>
            </w:r>
          </w:p>
        </w:tc>
      </w:tr>
    </w:tbl>
    <w:p w14:paraId="3020CB18">
      <w:pPr>
        <w:pStyle w:val="3"/>
        <w:ind w:left="0" w:leftChars="0" w:firstLine="0" w:firstLineChars="0"/>
        <w:rPr>
          <w:rFonts w:hint="eastAsia"/>
          <w:color w:val="000000"/>
          <w:lang w:eastAsia="zh-CN"/>
        </w:rPr>
      </w:pPr>
    </w:p>
    <w:p w14:paraId="7B9AF271">
      <w:pPr>
        <w:pStyle w:val="3"/>
        <w:ind w:firstLine="352" w:firstLineChars="147"/>
        <w:rPr>
          <w:rFonts w:hint="eastAsia"/>
          <w:color w:val="000000"/>
          <w:lang w:eastAsia="zh-CN"/>
        </w:rPr>
      </w:pPr>
      <w:r>
        <w:rPr>
          <w:color w:val="000000"/>
        </w:rPr>
        <w:t>应答帧</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917"/>
        <w:gridCol w:w="1171"/>
        <w:gridCol w:w="1448"/>
        <w:gridCol w:w="1427"/>
        <w:gridCol w:w="945"/>
        <w:gridCol w:w="1025"/>
      </w:tblGrid>
      <w:tr w14:paraId="37C4F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79" w:type="dxa"/>
            <w:noWrap w:val="0"/>
            <w:vAlign w:val="center"/>
          </w:tcPr>
          <w:p w14:paraId="1B82B07C">
            <w:pPr>
              <w:rPr>
                <w:color w:val="000000"/>
              </w:rPr>
            </w:pPr>
            <w:r>
              <w:rPr>
                <w:color w:val="000000"/>
              </w:rPr>
              <w:t>地址码</w:t>
            </w:r>
          </w:p>
        </w:tc>
        <w:tc>
          <w:tcPr>
            <w:tcW w:w="917" w:type="dxa"/>
            <w:noWrap w:val="0"/>
            <w:vAlign w:val="center"/>
          </w:tcPr>
          <w:p w14:paraId="0031394B">
            <w:pPr>
              <w:rPr>
                <w:color w:val="000000"/>
              </w:rPr>
            </w:pPr>
            <w:r>
              <w:rPr>
                <w:color w:val="000000"/>
              </w:rPr>
              <w:t>功能码</w:t>
            </w:r>
          </w:p>
        </w:tc>
        <w:tc>
          <w:tcPr>
            <w:tcW w:w="1171" w:type="dxa"/>
            <w:noWrap w:val="0"/>
            <w:vAlign w:val="center"/>
          </w:tcPr>
          <w:p w14:paraId="0EC2B697">
            <w:pPr>
              <w:rPr>
                <w:color w:val="000000"/>
              </w:rPr>
            </w:pPr>
            <w:r>
              <w:rPr>
                <w:color w:val="000000"/>
              </w:rPr>
              <w:t>有效字数</w:t>
            </w:r>
          </w:p>
        </w:tc>
        <w:tc>
          <w:tcPr>
            <w:tcW w:w="1448" w:type="dxa"/>
            <w:noWrap w:val="0"/>
            <w:vAlign w:val="center"/>
          </w:tcPr>
          <w:p w14:paraId="54E60026">
            <w:pPr>
              <w:rPr>
                <w:rFonts w:hint="eastAsia"/>
                <w:color w:val="000000"/>
              </w:rPr>
            </w:pPr>
            <w:r>
              <w:rPr>
                <w:rFonts w:hint="eastAsia"/>
                <w:color w:val="000000"/>
                <w:lang w:val="en-US" w:eastAsia="zh-CN"/>
              </w:rPr>
              <w:t>瞬时流量</w:t>
            </w:r>
            <w:r>
              <w:rPr>
                <w:rFonts w:hint="eastAsia"/>
                <w:color w:val="000000"/>
              </w:rPr>
              <w:t>值</w:t>
            </w:r>
          </w:p>
          <w:p w14:paraId="430282D6">
            <w:pPr>
              <w:rPr>
                <w:rFonts w:hint="default" w:eastAsia="宋体"/>
                <w:color w:val="000000"/>
                <w:lang w:val="en-US" w:eastAsia="zh-CN"/>
              </w:rPr>
            </w:pPr>
            <w:r>
              <w:rPr>
                <w:rFonts w:hint="eastAsia"/>
                <w:color w:val="000000"/>
                <w:lang w:val="en-US" w:eastAsia="zh-CN"/>
              </w:rPr>
              <w:t>低位</w:t>
            </w:r>
          </w:p>
        </w:tc>
        <w:tc>
          <w:tcPr>
            <w:tcW w:w="1427" w:type="dxa"/>
            <w:noWrap w:val="0"/>
            <w:vAlign w:val="center"/>
          </w:tcPr>
          <w:p w14:paraId="22744D88">
            <w:pPr>
              <w:rPr>
                <w:rFonts w:hint="eastAsia"/>
                <w:color w:val="000000"/>
                <w:lang w:val="en-US" w:eastAsia="zh-CN"/>
              </w:rPr>
            </w:pPr>
            <w:r>
              <w:rPr>
                <w:rFonts w:hint="eastAsia"/>
                <w:color w:val="000000"/>
                <w:lang w:val="en-US" w:eastAsia="zh-CN"/>
              </w:rPr>
              <w:t>瞬时流量</w:t>
            </w:r>
            <w:r>
              <w:rPr>
                <w:rFonts w:hint="eastAsia"/>
                <w:color w:val="000000"/>
              </w:rPr>
              <w:t>值</w:t>
            </w:r>
            <w:r>
              <w:rPr>
                <w:rFonts w:hint="eastAsia"/>
                <w:color w:val="000000"/>
                <w:lang w:val="en-US" w:eastAsia="zh-CN"/>
              </w:rPr>
              <w:t>高位</w:t>
            </w:r>
          </w:p>
        </w:tc>
        <w:tc>
          <w:tcPr>
            <w:tcW w:w="945" w:type="dxa"/>
            <w:noWrap w:val="0"/>
            <w:vAlign w:val="center"/>
          </w:tcPr>
          <w:p w14:paraId="08DC2606">
            <w:pPr>
              <w:rPr>
                <w:color w:val="000000"/>
              </w:rPr>
            </w:pPr>
            <w:r>
              <w:rPr>
                <w:color w:val="000000"/>
              </w:rPr>
              <w:t>校验码低位</w:t>
            </w:r>
          </w:p>
        </w:tc>
        <w:tc>
          <w:tcPr>
            <w:tcW w:w="1025" w:type="dxa"/>
            <w:noWrap w:val="0"/>
            <w:vAlign w:val="center"/>
          </w:tcPr>
          <w:p w14:paraId="33D4364B">
            <w:pPr>
              <w:rPr>
                <w:color w:val="000000"/>
              </w:rPr>
            </w:pPr>
            <w:r>
              <w:rPr>
                <w:color w:val="000000"/>
              </w:rPr>
              <w:t>校验码</w:t>
            </w:r>
          </w:p>
          <w:p w14:paraId="391B9E96">
            <w:pPr>
              <w:rPr>
                <w:color w:val="000000"/>
              </w:rPr>
            </w:pPr>
            <w:r>
              <w:rPr>
                <w:rFonts w:hint="eastAsia"/>
                <w:color w:val="000000"/>
                <w:lang w:val="en-US" w:eastAsia="zh-CN"/>
              </w:rPr>
              <w:t>高</w:t>
            </w:r>
            <w:r>
              <w:rPr>
                <w:color w:val="000000"/>
              </w:rPr>
              <w:t>位</w:t>
            </w:r>
          </w:p>
        </w:tc>
      </w:tr>
      <w:tr w14:paraId="5A189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79" w:type="dxa"/>
            <w:noWrap w:val="0"/>
            <w:vAlign w:val="top"/>
          </w:tcPr>
          <w:p w14:paraId="30074FDE">
            <w:pPr>
              <w:rPr>
                <w:color w:val="000000"/>
              </w:rPr>
            </w:pPr>
            <w:r>
              <w:rPr>
                <w:color w:val="000000"/>
              </w:rPr>
              <w:t>0x01</w:t>
            </w:r>
          </w:p>
        </w:tc>
        <w:tc>
          <w:tcPr>
            <w:tcW w:w="917" w:type="dxa"/>
            <w:noWrap w:val="0"/>
            <w:vAlign w:val="top"/>
          </w:tcPr>
          <w:p w14:paraId="3814A0C2">
            <w:pPr>
              <w:rPr>
                <w:color w:val="000000"/>
              </w:rPr>
            </w:pPr>
            <w:r>
              <w:rPr>
                <w:color w:val="000000"/>
              </w:rPr>
              <w:t>0x03</w:t>
            </w:r>
          </w:p>
        </w:tc>
        <w:tc>
          <w:tcPr>
            <w:tcW w:w="1171" w:type="dxa"/>
            <w:noWrap w:val="0"/>
            <w:vAlign w:val="top"/>
          </w:tcPr>
          <w:p w14:paraId="48758ABA">
            <w:pPr>
              <w:rPr>
                <w:rFonts w:hint="eastAsia" w:eastAsia="宋体"/>
                <w:color w:val="000000"/>
                <w:lang w:val="en-US" w:eastAsia="zh-CN"/>
              </w:rPr>
            </w:pPr>
            <w:r>
              <w:rPr>
                <w:color w:val="000000"/>
              </w:rPr>
              <w:t>0x0</w:t>
            </w:r>
            <w:r>
              <w:rPr>
                <w:rFonts w:hint="eastAsia"/>
                <w:color w:val="000000"/>
                <w:lang w:val="en-US" w:eastAsia="zh-CN"/>
              </w:rPr>
              <w:t>4</w:t>
            </w:r>
          </w:p>
        </w:tc>
        <w:tc>
          <w:tcPr>
            <w:tcW w:w="1448" w:type="dxa"/>
            <w:noWrap w:val="0"/>
            <w:vAlign w:val="top"/>
          </w:tcPr>
          <w:p w14:paraId="7748F1C3">
            <w:pPr>
              <w:rPr>
                <w:rFonts w:hint="default" w:eastAsia="宋体"/>
                <w:color w:val="000000"/>
                <w:lang w:val="en-US" w:eastAsia="zh-CN"/>
              </w:rPr>
            </w:pPr>
            <w:r>
              <w:rPr>
                <w:color w:val="000000"/>
              </w:rPr>
              <w:t>0x</w:t>
            </w:r>
            <w:r>
              <w:rPr>
                <w:rFonts w:hint="eastAsia"/>
                <w:color w:val="000000"/>
              </w:rPr>
              <w:t>0</w:t>
            </w:r>
            <w:r>
              <w:rPr>
                <w:rFonts w:hint="eastAsia"/>
                <w:color w:val="000000"/>
                <w:lang w:val="en-US" w:eastAsia="zh-CN"/>
              </w:rPr>
              <w:t xml:space="preserve">0 </w:t>
            </w:r>
            <w:r>
              <w:rPr>
                <w:color w:val="000000"/>
              </w:rPr>
              <w:t>0x</w:t>
            </w:r>
            <w:r>
              <w:rPr>
                <w:rFonts w:hint="eastAsia"/>
                <w:color w:val="000000"/>
                <w:lang w:val="en-US" w:eastAsia="zh-CN"/>
              </w:rPr>
              <w:t>00</w:t>
            </w:r>
          </w:p>
        </w:tc>
        <w:tc>
          <w:tcPr>
            <w:tcW w:w="1427" w:type="dxa"/>
            <w:noWrap w:val="0"/>
            <w:vAlign w:val="top"/>
          </w:tcPr>
          <w:p w14:paraId="1012DB7C">
            <w:pPr>
              <w:rPr>
                <w:rFonts w:hint="default"/>
                <w:color w:val="000000"/>
                <w:lang w:val="en-US"/>
              </w:rPr>
            </w:pPr>
            <w:r>
              <w:rPr>
                <w:color w:val="000000"/>
              </w:rPr>
              <w:t>0x</w:t>
            </w:r>
            <w:r>
              <w:rPr>
                <w:rFonts w:hint="eastAsia"/>
                <w:color w:val="000000"/>
                <w:lang w:val="en-US" w:eastAsia="zh-CN"/>
              </w:rPr>
              <w:t xml:space="preserve">06 </w:t>
            </w:r>
            <w:r>
              <w:rPr>
                <w:color w:val="000000"/>
              </w:rPr>
              <w:t>0x</w:t>
            </w:r>
            <w:r>
              <w:rPr>
                <w:rFonts w:hint="eastAsia"/>
                <w:color w:val="000000"/>
                <w:lang w:val="en-US" w:eastAsia="zh-CN"/>
              </w:rPr>
              <w:t>6A</w:t>
            </w:r>
          </w:p>
        </w:tc>
        <w:tc>
          <w:tcPr>
            <w:tcW w:w="945" w:type="dxa"/>
            <w:noWrap w:val="0"/>
            <w:vAlign w:val="top"/>
          </w:tcPr>
          <w:p w14:paraId="6656C04B">
            <w:pPr>
              <w:rPr>
                <w:rFonts w:hint="default" w:eastAsia="宋体"/>
                <w:color w:val="000000"/>
                <w:lang w:val="en-US" w:eastAsia="zh-CN"/>
              </w:rPr>
            </w:pPr>
            <w:r>
              <w:rPr>
                <w:color w:val="000000"/>
              </w:rPr>
              <w:t>0x</w:t>
            </w:r>
            <w:r>
              <w:rPr>
                <w:rFonts w:hint="eastAsia"/>
                <w:color w:val="000000"/>
                <w:lang w:val="en-US" w:eastAsia="zh-CN"/>
              </w:rPr>
              <w:t>C0</w:t>
            </w:r>
          </w:p>
        </w:tc>
        <w:tc>
          <w:tcPr>
            <w:tcW w:w="1025" w:type="dxa"/>
            <w:noWrap w:val="0"/>
            <w:vAlign w:val="top"/>
          </w:tcPr>
          <w:p w14:paraId="5667E42A">
            <w:pPr>
              <w:rPr>
                <w:rFonts w:hint="default" w:eastAsia="宋体"/>
                <w:color w:val="000000"/>
                <w:lang w:val="en-US" w:eastAsia="zh-CN"/>
              </w:rPr>
            </w:pPr>
            <w:r>
              <w:rPr>
                <w:color w:val="000000"/>
              </w:rPr>
              <w:t>0x</w:t>
            </w:r>
            <w:r>
              <w:rPr>
                <w:rFonts w:hint="eastAsia"/>
                <w:color w:val="000000"/>
                <w:lang w:val="en-US" w:eastAsia="zh-CN"/>
              </w:rPr>
              <w:t>88</w:t>
            </w:r>
          </w:p>
        </w:tc>
      </w:tr>
    </w:tbl>
    <w:p w14:paraId="3068E236">
      <w:pPr>
        <w:pStyle w:val="3"/>
        <w:ind w:left="0" w:leftChars="0" w:firstLine="240" w:firstLineChars="100"/>
        <w:rPr>
          <w:rFonts w:hint="default"/>
          <w:lang w:val="en-US" w:eastAsia="zh-CN"/>
        </w:rPr>
      </w:pPr>
      <w:r>
        <w:rPr>
          <w:rFonts w:hint="eastAsia"/>
          <w:lang w:val="en-US" w:eastAsia="zh-CN"/>
        </w:rPr>
        <w:t xml:space="preserve">                                表10</w:t>
      </w:r>
    </w:p>
    <w:p w14:paraId="1BBA49B9">
      <w:pPr>
        <w:pStyle w:val="3"/>
        <w:ind w:left="0" w:leftChars="0" w:firstLine="240" w:firstLineChars="100"/>
        <w:rPr>
          <w:rFonts w:hint="eastAsia"/>
        </w:rPr>
      </w:pPr>
      <w:r>
        <w:rPr>
          <w:rFonts w:hint="eastAsia"/>
          <w:lang w:val="en-US" w:eastAsia="zh-CN"/>
        </w:rPr>
        <w:t>累计流量</w:t>
      </w:r>
      <w:r>
        <w:rPr>
          <w:rFonts w:hint="eastAsia"/>
          <w:lang w:eastAsia="zh-CN"/>
        </w:rPr>
        <w:t>值</w:t>
      </w:r>
      <w:r>
        <w:rPr>
          <w:rFonts w:hint="eastAsia"/>
        </w:rPr>
        <w:t>：</w:t>
      </w:r>
    </w:p>
    <w:p w14:paraId="06387A44">
      <w:pPr>
        <w:pStyle w:val="3"/>
        <w:rPr>
          <w:rFonts w:hint="default" w:eastAsia="宋体"/>
          <w:lang w:val="en-US" w:eastAsia="zh-CN"/>
        </w:rPr>
      </w:pPr>
      <w:r>
        <w:rPr>
          <w:rFonts w:hint="eastAsia"/>
          <w:lang w:val="en-US" w:eastAsia="zh-CN"/>
        </w:rPr>
        <w:t>66A</w:t>
      </w:r>
      <w:r>
        <w:rPr>
          <w:rFonts w:hint="eastAsia"/>
        </w:rPr>
        <w:t>(十六进制)=</w:t>
      </w:r>
      <w:r>
        <w:rPr>
          <w:rFonts w:hint="eastAsia"/>
          <w:lang w:val="en-US" w:eastAsia="zh-CN"/>
        </w:rPr>
        <w:t>1642</w:t>
      </w:r>
      <w:r>
        <w:rPr>
          <w:rFonts w:hint="eastAsia"/>
        </w:rPr>
        <w:t>=&gt;</w:t>
      </w:r>
      <w:r>
        <w:rPr>
          <w:rFonts w:hint="eastAsia"/>
          <w:lang w:val="en-US" w:eastAsia="zh-CN"/>
        </w:rPr>
        <w:t>累计流量</w:t>
      </w:r>
      <w:r>
        <w:rPr>
          <w:rFonts w:hint="eastAsia"/>
        </w:rPr>
        <w:t>=</w:t>
      </w:r>
      <w:r>
        <w:rPr>
          <w:rFonts w:hint="eastAsia"/>
          <w:lang w:val="en-US" w:eastAsia="zh-CN"/>
        </w:rPr>
        <w:t>164.2m/s</w:t>
      </w:r>
    </w:p>
    <w:p w14:paraId="0A102DE9">
      <w:pPr>
        <w:pStyle w:val="3"/>
        <w:rPr>
          <w:rFonts w:hint="default"/>
          <w:lang w:val="en-US" w:eastAsia="zh-CN"/>
        </w:rPr>
      </w:pPr>
    </w:p>
    <w:p w14:paraId="22766CA6">
      <w:pPr>
        <w:keepNext w:val="0"/>
        <w:keepLines w:val="0"/>
        <w:pageBreakBefore w:val="0"/>
        <w:widowControl w:val="0"/>
        <w:numPr>
          <w:ilvl w:val="0"/>
          <w:numId w:val="0"/>
        </w:numPr>
        <w:kinsoku/>
        <w:wordWrap/>
        <w:overflowPunct/>
        <w:topLinePunct w:val="0"/>
        <w:autoSpaceDE/>
        <w:autoSpaceDN/>
        <w:bidi w:val="0"/>
        <w:adjustRightInd/>
        <w:snapToGrid/>
        <w:ind w:left="240" w:leftChars="100" w:firstLine="0" w:firstLineChars="0"/>
        <w:jc w:val="both"/>
        <w:textAlignment w:val="auto"/>
        <w:rPr>
          <w:rFonts w:ascii="宋体" w:hAnsi="宋体" w:eastAsia="宋体" w:cs="宋体"/>
          <w:sz w:val="24"/>
          <w:szCs w:val="24"/>
        </w:rPr>
      </w:pPr>
    </w:p>
    <w:p w14:paraId="45C63DBD">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both"/>
        <w:textAlignment w:val="auto"/>
        <w:rPr>
          <w:rFonts w:hint="default" w:ascii="宋体" w:hAnsi="宋体" w:eastAsia="宋体" w:cs="宋体"/>
          <w:sz w:val="24"/>
          <w:szCs w:val="24"/>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NewRomanPSMT">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0DFCE">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776001">
                          <w:pPr>
                            <w:pStyle w:val="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B776001">
                    <w:pPr>
                      <w:pStyle w:val="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039E6"/>
    <w:multiLevelType w:val="singleLevel"/>
    <w:tmpl w:val="A25039E6"/>
    <w:lvl w:ilvl="0" w:tentative="0">
      <w:start w:val="1"/>
      <w:numFmt w:val="bullet"/>
      <w:lvlText w:val=""/>
      <w:lvlJc w:val="left"/>
      <w:pPr>
        <w:ind w:left="900" w:hanging="420"/>
      </w:pPr>
      <w:rPr>
        <w:rFonts w:hint="default" w:ascii="Wingdings" w:hAnsi="Wingdings"/>
      </w:rPr>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E10873D3"/>
    <w:multiLevelType w:val="multilevel"/>
    <w:tmpl w:val="E10873D3"/>
    <w:lvl w:ilvl="0" w:tentative="0">
      <w:start w:val="1"/>
      <w:numFmt w:val="bullet"/>
      <w:lvlText w:val=""/>
      <w:lvlJc w:val="left"/>
      <w:pPr>
        <w:ind w:left="900" w:hanging="420"/>
      </w:pPr>
      <w:rPr>
        <w:rFonts w:hint="default" w:ascii="Wingdings" w:hAnsi="Wingdings"/>
        <w:sz w:val="24"/>
        <w:szCs w:val="24"/>
      </w:rPr>
    </w:lvl>
    <w:lvl w:ilvl="1" w:tentative="0">
      <w:start w:val="1"/>
      <w:numFmt w:val="bullet"/>
      <w:lvlText w:val=""/>
      <w:lvlJc w:val="left"/>
      <w:pPr>
        <w:tabs>
          <w:tab w:val="left" w:pos="840"/>
        </w:tabs>
        <w:ind w:left="1320" w:leftChars="0" w:hanging="420" w:firstLineChars="0"/>
      </w:pPr>
      <w:rPr>
        <w:rFonts w:hint="default" w:ascii="Wingdings" w:hAnsi="Wingdings"/>
      </w:rPr>
    </w:lvl>
    <w:lvl w:ilvl="2" w:tentative="0">
      <w:start w:val="1"/>
      <w:numFmt w:val="bullet"/>
      <w:lvlText w:val=""/>
      <w:lvlJc w:val="left"/>
      <w:pPr>
        <w:tabs>
          <w:tab w:val="left" w:pos="1260"/>
        </w:tabs>
        <w:ind w:left="1740" w:leftChars="0" w:hanging="420" w:firstLineChars="0"/>
      </w:pPr>
      <w:rPr>
        <w:rFonts w:hint="default" w:ascii="Wingdings" w:hAnsi="Wingdings"/>
      </w:rPr>
    </w:lvl>
    <w:lvl w:ilvl="3" w:tentative="0">
      <w:start w:val="1"/>
      <w:numFmt w:val="bullet"/>
      <w:lvlText w:val=""/>
      <w:lvlJc w:val="left"/>
      <w:pPr>
        <w:tabs>
          <w:tab w:val="left" w:pos="1680"/>
        </w:tabs>
        <w:ind w:left="2160" w:leftChars="0" w:hanging="420" w:firstLineChars="0"/>
      </w:pPr>
      <w:rPr>
        <w:rFonts w:hint="default" w:ascii="Wingdings" w:hAnsi="Wingdings"/>
      </w:rPr>
    </w:lvl>
    <w:lvl w:ilvl="4" w:tentative="0">
      <w:start w:val="1"/>
      <w:numFmt w:val="bullet"/>
      <w:lvlText w:val=""/>
      <w:lvlJc w:val="left"/>
      <w:pPr>
        <w:tabs>
          <w:tab w:val="left" w:pos="2100"/>
        </w:tabs>
        <w:ind w:left="2580" w:leftChars="0" w:hanging="420" w:firstLineChars="0"/>
      </w:pPr>
      <w:rPr>
        <w:rFonts w:hint="default" w:ascii="Wingdings" w:hAnsi="Wingdings"/>
      </w:rPr>
    </w:lvl>
    <w:lvl w:ilvl="5" w:tentative="0">
      <w:start w:val="1"/>
      <w:numFmt w:val="bullet"/>
      <w:lvlText w:val=""/>
      <w:lvlJc w:val="left"/>
      <w:pPr>
        <w:tabs>
          <w:tab w:val="left" w:pos="2520"/>
        </w:tabs>
        <w:ind w:left="3000" w:leftChars="0" w:hanging="420" w:firstLineChars="0"/>
      </w:pPr>
      <w:rPr>
        <w:rFonts w:hint="default" w:ascii="Wingdings" w:hAnsi="Wingdings"/>
      </w:rPr>
    </w:lvl>
    <w:lvl w:ilvl="6" w:tentative="0">
      <w:start w:val="1"/>
      <w:numFmt w:val="bullet"/>
      <w:lvlText w:val=""/>
      <w:lvlJc w:val="left"/>
      <w:pPr>
        <w:tabs>
          <w:tab w:val="left" w:pos="2940"/>
        </w:tabs>
        <w:ind w:left="3420" w:leftChars="0" w:hanging="420" w:firstLineChars="0"/>
      </w:pPr>
      <w:rPr>
        <w:rFonts w:hint="default" w:ascii="Wingdings" w:hAnsi="Wingdings"/>
      </w:rPr>
    </w:lvl>
    <w:lvl w:ilvl="7" w:tentative="0">
      <w:start w:val="1"/>
      <w:numFmt w:val="bullet"/>
      <w:lvlText w:val=""/>
      <w:lvlJc w:val="left"/>
      <w:pPr>
        <w:tabs>
          <w:tab w:val="left" w:pos="3360"/>
        </w:tabs>
        <w:ind w:left="3840" w:leftChars="0" w:hanging="420" w:firstLineChars="0"/>
      </w:pPr>
      <w:rPr>
        <w:rFonts w:hint="default" w:ascii="Wingdings" w:hAnsi="Wingdings"/>
      </w:rPr>
    </w:lvl>
    <w:lvl w:ilvl="8" w:tentative="0">
      <w:start w:val="1"/>
      <w:numFmt w:val="bullet"/>
      <w:lvlText w:val=""/>
      <w:lvlJc w:val="left"/>
      <w:pPr>
        <w:tabs>
          <w:tab w:val="left" w:pos="3780"/>
        </w:tabs>
        <w:ind w:left="4260" w:leftChars="0" w:hanging="420" w:firstLineChars="0"/>
      </w:pPr>
      <w:rPr>
        <w:rFonts w:hint="default" w:ascii="Wingdings" w:hAnsi="Wingdings"/>
      </w:rPr>
    </w:lvl>
  </w:abstractNum>
  <w:abstractNum w:abstractNumId="3">
    <w:nsid w:val="1256167B"/>
    <w:multiLevelType w:val="singleLevel"/>
    <w:tmpl w:val="1256167B"/>
    <w:lvl w:ilvl="0" w:tentative="0">
      <w:start w:val="1"/>
      <w:numFmt w:val="chineseCounting"/>
      <w:suff w:val="space"/>
      <w:lvlText w:val="第%1章"/>
      <w:lvlJc w:val="left"/>
      <w:rPr>
        <w:rFonts w:hint="eastAsia" w:ascii="黑体" w:hAnsi="黑体" w:eastAsia="黑体" w:cs="黑体"/>
        <w:sz w:val="36"/>
        <w:szCs w:val="36"/>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lZjU0MjI5MGJkNjAwYTVhYTNlYTU0NjljMTY5OTUifQ=="/>
    <w:docVar w:name="KSO_WPS_MARK_KEY" w:val="dc93e039-814e-4fa6-beed-2ec67ba1b589"/>
  </w:docVars>
  <w:rsids>
    <w:rsidRoot w:val="574753FC"/>
    <w:rsid w:val="01891B53"/>
    <w:rsid w:val="039E3C3D"/>
    <w:rsid w:val="045D72C7"/>
    <w:rsid w:val="08DC1FC1"/>
    <w:rsid w:val="0A782765"/>
    <w:rsid w:val="0AD9714C"/>
    <w:rsid w:val="0E5E2BF0"/>
    <w:rsid w:val="0EF852E6"/>
    <w:rsid w:val="0FA61B22"/>
    <w:rsid w:val="0FC4644C"/>
    <w:rsid w:val="0FF87EA4"/>
    <w:rsid w:val="11481ACC"/>
    <w:rsid w:val="13223BB5"/>
    <w:rsid w:val="137C6B16"/>
    <w:rsid w:val="14D7185D"/>
    <w:rsid w:val="160D58AF"/>
    <w:rsid w:val="1AD5150D"/>
    <w:rsid w:val="1AEB57C4"/>
    <w:rsid w:val="1F5C21FD"/>
    <w:rsid w:val="22F63F92"/>
    <w:rsid w:val="28701A4C"/>
    <w:rsid w:val="29A8600C"/>
    <w:rsid w:val="30331386"/>
    <w:rsid w:val="327B69E7"/>
    <w:rsid w:val="352B0250"/>
    <w:rsid w:val="36BE125D"/>
    <w:rsid w:val="394268F4"/>
    <w:rsid w:val="39833122"/>
    <w:rsid w:val="3A1943AD"/>
    <w:rsid w:val="41633498"/>
    <w:rsid w:val="420B2D17"/>
    <w:rsid w:val="42C6780A"/>
    <w:rsid w:val="43CA157C"/>
    <w:rsid w:val="455C6204"/>
    <w:rsid w:val="45EF7078"/>
    <w:rsid w:val="47150D60"/>
    <w:rsid w:val="48DF1625"/>
    <w:rsid w:val="4A45370A"/>
    <w:rsid w:val="4A623EAE"/>
    <w:rsid w:val="4F963FCB"/>
    <w:rsid w:val="4FD52069"/>
    <w:rsid w:val="5075630A"/>
    <w:rsid w:val="54FD7735"/>
    <w:rsid w:val="574753FC"/>
    <w:rsid w:val="575E7C19"/>
    <w:rsid w:val="5CB8749A"/>
    <w:rsid w:val="600E5EAA"/>
    <w:rsid w:val="661146F0"/>
    <w:rsid w:val="6BA442DD"/>
    <w:rsid w:val="6CFA617E"/>
    <w:rsid w:val="6D383A6A"/>
    <w:rsid w:val="6DE35DF5"/>
    <w:rsid w:val="6E943C51"/>
    <w:rsid w:val="6EBF6980"/>
    <w:rsid w:val="742C13F2"/>
    <w:rsid w:val="749B7A4A"/>
    <w:rsid w:val="7A8B0D65"/>
    <w:rsid w:val="7D7735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3"/>
    <w:autoRedefine/>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4">
    <w:name w:val="heading 3"/>
    <w:basedOn w:val="1"/>
    <w:next w:val="3"/>
    <w:autoRedefine/>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Body Text First Indent"/>
    <w:basedOn w:val="1"/>
    <w:qFormat/>
    <w:uiPriority w:val="0"/>
    <w:pPr>
      <w:ind w:firstLine="498" w:firstLineChars="200"/>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2938</Words>
  <Characters>4014</Characters>
  <Lines>0</Lines>
  <Paragraphs>0</Paragraphs>
  <TotalTime>54</TotalTime>
  <ScaleCrop>false</ScaleCrop>
  <LinksUpToDate>false</LinksUpToDate>
  <CharactersWithSpaces>4520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2023-12-28T02:12:00Z</dcterms:created>
  <dc:creator>fewevd</dc:creator>
  <cp:lastModifiedBy>龙哥</cp:lastModifiedBy>
  <cp:lastPrinted>2024-08-28T08:33:15Z</cp:lastPrinted>
  <dcterms:modified xsi:type="dcterms:W3CDTF">2024-08-28T09:26:52Z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D6FCD75EFA6748708DF27707DC99A9F3_11</vt:lpwstr>
  </property>
</Properties>
</file>