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-386715</wp:posOffset>
                </wp:positionH>
                <wp:positionV relativeFrom="paragraph">
                  <wp:posOffset>-227330</wp:posOffset>
                </wp:positionV>
                <wp:extent cx="6477000" cy="3257550"/>
                <wp:effectExtent l="0" t="0" r="0" b="0"/>
                <wp:wrapNone/>
                <wp:docPr id="2" name="文本框 2"/>
                <wp:cNvGraphicFramePr/>
                <a:graphic xmlns:a="http://schemas.openxmlformats.org/drawingml/2006/main">
                  <a:graphicData uri="http://schemas.microsoft.com/office/word/2010/wordprocessingShape">
                    <wps:wsp>
                      <wps:cNvSpPr txBox="1"/>
                      <wps:spPr>
                        <a:xfrm>
                          <a:off x="756285" y="687070"/>
                          <a:ext cx="6477000" cy="3257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7"/>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6" w:name="OLE_LINK1"/>
                                  <w:r>
                                    <w:rPr>
                                      <w:rFonts w:hint="eastAsia"/>
                                      <w:b/>
                                      <w:bCs/>
                                      <w:sz w:val="72"/>
                                      <w:szCs w:val="72"/>
                                      <w:lang w:val="en-US" w:eastAsia="zh-CN"/>
                                    </w:rPr>
                                    <w:t>水质生物安全预警</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CT-SZYJ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bookmarkEnd w:id="6"/>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45pt;margin-top:-17.9pt;height:256.5pt;width:510pt;z-index:251660288;mso-width-relative:page;mso-height-relative:page;" filled="f" stroked="f" coordsize="21600,21600" o:gfxdata="UEsDBAoAAAAAAIdO4kAAAAAAAAAAAAAAAAAEAAAAZHJzL1BLAwQUAAAACACHTuJATwrBBdwAAAAL&#10;AQAADwAAAGRycy9kb3ducmV2LnhtbE2Py07DMBBF90j8gzVI7Fo7gbRNiFOhSBUSgkVLN+yceJpE&#10;+BFi9wFfz7CC3Yzm6M655fpiDTvhFAbvJCRzAQxd6/XgOgn7t81sBSxE5bQy3qGELwywrq6vSlVo&#10;f3ZbPO1ixyjEhUJJ6GMcC85D26NVYe5HdHQ7+MmqSOvUcT2pM4Vbw1MhFtyqwdGHXo1Y99h+7I5W&#10;wnO9eVXbJrWrb1M/vRwex8/9eybl7U0iHoBFvMQ/GH71SR0qcmr80enAjITZQuSE0nCXUQci8ixP&#10;gDUS7pfLFHhV8v8dqh9QSwMEFAAAAAgAh07iQOZEnA9GAgAAcQQAAA4AAABkcnMvZTJvRG9jLnht&#10;bK1UwW7bMAy9D9g/CLovdtwkzoI6RdYgw4BiLdANOyuyHBuQRE1SYmcfsP3BTrvsvu/qd4ySnbbr&#10;duhhF4US6Ue+RzLnF52S5CCsa0AXdDxKKRGaQ9noXUE/fti8mlPiPNMlk6BFQY/C0YvlyxfnrVmI&#10;DGqQpbAEQbRbtKagtfdmkSSO10IxNwIjNDorsIp5vNpdUlrWIrqSSZams6QFWxoLXDiHr+veSQdE&#10;+xxAqKqGizXwvRLa96hWSOaRkqsb4+gyVltVgvvrqnLCE1lQZOrjiUnQ3oYzWZ6zxc4yUzd8KIE9&#10;p4QnnBRrNCa9h1ozz8jeNn9BqYZbcFD5EQeV9ESiIshinD7R5rZmRkQuKLUz96K7/wfL3x9uLGnK&#10;gmaUaKaw4Xffv939+HX38yvJgjytcQuMujUY57s30OHQnN4dPgbWXWVV+EU+BP35dJbNp5QcCzqb&#10;52k+yCw6Tzi6Z5M8T1PsAMeAs2yaT6cxInkAMtb5twIUCUZBLfYxyssOV85jURh6Cgl5NWwaKWMv&#10;pSYtpjhDyD88+IXU+GGg05cdLN9tu4HjFsojUrTQz4gzfNNg8ivm/A2zOBRYMK6Nv8ajkoBJYLAo&#10;qcF++dd7iMdeoZeSFoesoO7znllBiXynsYuvx5NJmMp4mUzzDC/2sWf72KP36hJwjse4oIZHM8R7&#10;eTIrC+oTbtcqZEUX0xxzF9SfzEvfjz5uJxerVQzCOTTMX+lbwwN0L9pq76FqotJBpl6bQT2cxNiA&#10;YWvCqD++x6iHf4rl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E8KwQXcAAAACwEAAA8AAAAAAAAA&#10;AQAgAAAAIgAAAGRycy9kb3ducmV2LnhtbFBLAQIUABQAAAAIAIdO4kDmRJwPRgIAAHEEAAAOAAAA&#10;AAAAAAEAIAAAACsBAABkcnMvZTJvRG9jLnhtbFBLBQYAAAAABgAGAFkBAADjBQAAAAA=&#10;">
                <v:fill on="f" focussize="0,0"/>
                <v:stroke on="f" weight="0.5pt"/>
                <v:imagedata o:title=""/>
                <o:lock v:ext="edit" aspectratio="f"/>
                <v:textbox>
                  <w:txbxContent>
                    <w:tbl>
                      <w:tblPr>
                        <w:tblStyle w:val="7"/>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bookmarkStart w:id="6" w:name="OLE_LINK1"/>
                            <w:r>
                              <w:rPr>
                                <w:rFonts w:hint="eastAsia"/>
                                <w:b/>
                                <w:bCs/>
                                <w:sz w:val="72"/>
                                <w:szCs w:val="72"/>
                                <w:lang w:val="en-US" w:eastAsia="zh-CN"/>
                              </w:rPr>
                              <w:t>水质生物安全预警</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w:t>
                            </w:r>
                            <w:r>
                              <w:rPr>
                                <w:rFonts w:hint="eastAsia"/>
                                <w:b/>
                                <w:bCs/>
                                <w:sz w:val="44"/>
                                <w:szCs w:val="44"/>
                                <w:lang w:val="en-US" w:eastAsia="zh-CN"/>
                              </w:rPr>
                              <w:t>CT-SZYJ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bookmarkEnd w:id="6"/>
                    </w:tbl>
                    <w:p/>
                  </w:txbxContent>
                </v:textbox>
              </v:shape>
            </w:pict>
          </mc:Fallback>
        </mc:AlternateContent>
      </w:r>
      <w:r>
        <w:drawing>
          <wp:anchor distT="0" distB="0" distL="114300" distR="114300" simplePos="0" relativeHeight="251659264" behindDoc="1" locked="0" layoutInCell="1" allowOverlap="1">
            <wp:simplePos x="0" y="0"/>
            <wp:positionH relativeFrom="page">
              <wp:posOffset>26035</wp:posOffset>
            </wp:positionH>
            <wp:positionV relativeFrom="page">
              <wp:posOffset>22860</wp:posOffset>
            </wp:positionV>
            <wp:extent cx="7525385" cy="10701655"/>
            <wp:effectExtent l="0" t="0" r="18415" b="444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25385" cy="1070165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近年频发水体污染事故，对生态环境造成了严重的影响，通过我司研发的水质生物安全预警系统，可以通过水中鱼类的活动迹象来判断水质安全。可以检测检测水中有毒有害的化学污染物，利用有毒物质污染应激下生物体的死亡、行为响应和生理生化改变来预警有毒物质毒性风险。实现在位、在线和实时的监测和预警；实现对有毒污染物的低成本快速监测；实现对复合污染和未知污染物快速响应和预警。通过判断水质毒性来代替水中毒物监测是应对突发污染事故的有效科学手段。</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生物检测方法有多种，例如藻类毒性预警技术、溞类毒性预警技术、鱼类毒性预警技术等，我司采用的是鱼类毒性预警技术-电信号传感法。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通过鱼类运动引起的设备内电场变化来分析鱼类的运动行为变化，传感器的集成度高，对有机污染物以及部分重金属敏感。可使用时间长，无人值守可运行长达3个月以上。</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实现在位、在线和实时的监测和预警；</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实现对有毒污染物的低成本快速监测；</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实现对复合污染和未知污染物快速响应和预警</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传感器的集成度高，</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对有机污染物以及部分重金属敏感。</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可使用时间长，无人值守可运行长达3个月以上</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优秀人机交互界面，方便操作</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设备上迪文屏显示，方便实时查看</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lang w:val="en-US" w:eastAsia="zh-CN"/>
        </w:rPr>
      </w:pPr>
      <w:r>
        <w:rPr>
          <w:rFonts w:hint="eastAsia"/>
          <w:lang w:val="en-US" w:eastAsia="zh-CN"/>
        </w:rPr>
        <w:t>八通道同时采集，实现对照分析，提高准确性</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lang w:val="en-US" w:eastAsia="zh-CN"/>
        </w:rPr>
      </w:pPr>
      <w:r>
        <w:rPr>
          <w:rFonts w:hint="eastAsia"/>
          <w:b/>
          <w:bCs/>
          <w:lang w:val="en-US" w:eastAsia="zh-CN"/>
        </w:rPr>
        <w:t>饮用水水源地水质安全预警监控</w:t>
      </w:r>
      <w:r>
        <w:rPr>
          <w:rFonts w:hint="eastAsia"/>
          <w:lang w:val="en-US" w:eastAsia="zh-CN"/>
        </w:rPr>
        <w:t>，保障饮用水水源地水质安全，提供饮用水水源水质连续实时在线的生物预警监控，提升应对集中式地表水饮用水水源地突发环境事件的预警应对能力；</w:t>
      </w:r>
      <w:r>
        <w:rPr>
          <w:rFonts w:hint="eastAsia"/>
          <w:b/>
          <w:bCs/>
          <w:lang w:val="en-US" w:eastAsia="zh-CN"/>
        </w:rPr>
        <w:t>流域跨界断面水质预警监测</w:t>
      </w:r>
      <w:r>
        <w:rPr>
          <w:rFonts w:hint="eastAsia"/>
          <w:lang w:val="en-US" w:eastAsia="zh-CN"/>
        </w:rPr>
        <w:t>，提高流域尺度预警监测能力。应对突发污染事故跨界纠纷，明确应急事故责任划分，提供突发环境事件应急处置过程中综合毒性风险终点和处置效果评价；</w:t>
      </w:r>
      <w:r>
        <w:rPr>
          <w:rFonts w:hint="eastAsia"/>
          <w:b/>
          <w:bCs/>
          <w:lang w:val="en-US" w:eastAsia="zh-CN"/>
        </w:rPr>
        <w:t>自来水厂水质安全预警监测</w:t>
      </w:r>
      <w:r>
        <w:rPr>
          <w:rFonts w:hint="eastAsia"/>
          <w:lang w:val="en-US" w:eastAsia="zh-CN"/>
        </w:rPr>
        <w:t>，提高自来水厂应对突发污染事故的应急处理能力，与水厂生产处理工艺相结合，全天候实时预警监测自来水厂水质的综合毒性风险，保障自来水供水安全；</w:t>
      </w:r>
      <w:r>
        <w:rPr>
          <w:rFonts w:hint="eastAsia"/>
          <w:b/>
          <w:bCs/>
          <w:lang w:val="en-US" w:eastAsia="zh-CN"/>
        </w:rPr>
        <w:t>排水综合毒性生态预警监测</w:t>
      </w:r>
      <w:r>
        <w:rPr>
          <w:rFonts w:hint="eastAsia"/>
          <w:lang w:val="en-US" w:eastAsia="zh-CN"/>
        </w:rPr>
        <w:t>，在线监测排水综合毒性的变化和消减，预警有毒污水的违规排放，实时评估排水综合毒性处理效果和对水环境生态的影响，提升排水综合毒性预警监测能力。</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受试生物</w:t>
            </w:r>
          </w:p>
        </w:tc>
        <w:tc>
          <w:tcPr>
            <w:tcW w:w="4261" w:type="dxa"/>
          </w:tcPr>
          <w:p>
            <w:pPr>
              <w:bidi w:val="0"/>
              <w:rPr>
                <w:rFonts w:hint="default"/>
                <w:lang w:val="en-US" w:eastAsia="zh-CN"/>
              </w:rPr>
            </w:pPr>
            <w:r>
              <w:rPr>
                <w:rFonts w:hint="eastAsia"/>
                <w:lang w:val="en-US" w:eastAsia="zh-CN"/>
              </w:rPr>
              <w:t>青鳉鱼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监测通道</w:t>
            </w:r>
          </w:p>
        </w:tc>
        <w:tc>
          <w:tcPr>
            <w:tcW w:w="4261" w:type="dxa"/>
          </w:tcPr>
          <w:p>
            <w:pPr>
              <w:bidi w:val="0"/>
              <w:rPr>
                <w:rFonts w:hint="default"/>
                <w:lang w:val="en-US" w:eastAsia="zh-CN"/>
              </w:rPr>
            </w:pPr>
            <w:r>
              <w:rPr>
                <w:rFonts w:hint="eastAsia"/>
                <w:lang w:val="en-US" w:eastAsia="zh-CN"/>
              </w:rPr>
              <w:t>8个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预警参数</w:t>
            </w:r>
          </w:p>
        </w:tc>
        <w:tc>
          <w:tcPr>
            <w:tcW w:w="4261" w:type="dxa"/>
          </w:tcPr>
          <w:p>
            <w:pPr>
              <w:bidi w:val="0"/>
              <w:rPr>
                <w:rFonts w:hint="default"/>
                <w:lang w:val="en-US" w:eastAsia="zh-CN"/>
              </w:rPr>
            </w:pPr>
            <w:r>
              <w:rPr>
                <w:rFonts w:hint="eastAsia"/>
                <w:lang w:val="en-US" w:eastAsia="zh-CN"/>
              </w:rPr>
              <w:t>水质指数和水质状态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水质综合毒性预警响应浓度</w:t>
            </w:r>
          </w:p>
        </w:tc>
        <w:tc>
          <w:tcPr>
            <w:tcW w:w="4261" w:type="dxa"/>
          </w:tcPr>
          <w:p>
            <w:pPr>
              <w:bidi w:val="0"/>
              <w:rPr>
                <w:rFonts w:hint="default"/>
                <w:lang w:val="en-US" w:eastAsia="zh-CN"/>
              </w:rPr>
            </w:pPr>
            <w:r>
              <w:rPr>
                <w:rFonts w:hint="eastAsia"/>
                <w:lang w:val="en-US" w:eastAsia="zh-CN"/>
              </w:rPr>
              <w:t>0.1-20TU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综合毒性行为响应时间</w:t>
            </w:r>
          </w:p>
        </w:tc>
        <w:tc>
          <w:tcPr>
            <w:tcW w:w="4261" w:type="dxa"/>
          </w:tcPr>
          <w:p>
            <w:pPr>
              <w:bidi w:val="0"/>
              <w:rPr>
                <w:rFonts w:hint="default"/>
                <w:lang w:val="en-US" w:eastAsia="zh-CN"/>
              </w:rPr>
            </w:pPr>
            <w:r>
              <w:rPr>
                <w:rFonts w:hint="eastAsia"/>
                <w:lang w:val="en-US" w:eastAsia="zh-CN"/>
              </w:rPr>
              <w:t>≥10min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行为信号准确度</w:t>
            </w:r>
          </w:p>
        </w:tc>
        <w:tc>
          <w:tcPr>
            <w:tcW w:w="4261" w:type="dxa"/>
          </w:tcPr>
          <w:p>
            <w:pPr>
              <w:bidi w:val="0"/>
              <w:rPr>
                <w:rFonts w:hint="default"/>
                <w:lang w:val="en-US" w:eastAsia="zh-CN"/>
              </w:rPr>
            </w:pPr>
            <w:r>
              <w:rPr>
                <w:rFonts w:hint="eastAsia"/>
                <w:lang w:val="en-US" w:eastAsia="zh-CN"/>
              </w:rPr>
              <w:t>传感器信号相对误差≤10%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平均无故障连续运行时间</w:t>
            </w:r>
          </w:p>
        </w:tc>
        <w:tc>
          <w:tcPr>
            <w:tcW w:w="4261" w:type="dxa"/>
          </w:tcPr>
          <w:p>
            <w:pPr>
              <w:bidi w:val="0"/>
              <w:rPr>
                <w:rFonts w:hint="default"/>
                <w:lang w:val="en-US" w:eastAsia="zh-CN"/>
              </w:rPr>
            </w:pPr>
            <w:r>
              <w:rPr>
                <w:rFonts w:hint="eastAsia"/>
                <w:lang w:val="en-US" w:eastAsia="zh-CN"/>
              </w:rPr>
              <w:t>≥720h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稳定运行水温范围</w:t>
            </w:r>
          </w:p>
        </w:tc>
        <w:tc>
          <w:tcPr>
            <w:tcW w:w="4261" w:type="dxa"/>
          </w:tcPr>
          <w:p>
            <w:pPr>
              <w:bidi w:val="0"/>
              <w:rPr>
                <w:rFonts w:hint="default"/>
                <w:lang w:val="en-US" w:eastAsia="zh-CN"/>
              </w:rPr>
            </w:pPr>
            <w:r>
              <w:rPr>
                <w:rFonts w:hint="eastAsia"/>
                <w:lang w:val="en-US" w:eastAsia="zh-CN"/>
              </w:rPr>
              <w:t>15-30℃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水样浊度范围</w:t>
            </w:r>
          </w:p>
        </w:tc>
        <w:tc>
          <w:tcPr>
            <w:tcW w:w="4261" w:type="dxa"/>
          </w:tcPr>
          <w:p>
            <w:pPr>
              <w:bidi w:val="0"/>
              <w:rPr>
                <w:rFonts w:hint="default"/>
                <w:lang w:val="en-US" w:eastAsia="zh-CN"/>
              </w:rPr>
            </w:pPr>
            <w:r>
              <w:rPr>
                <w:rFonts w:hint="eastAsia"/>
                <w:lang w:val="en-US" w:eastAsia="zh-CN"/>
              </w:rPr>
              <w:t>≤50NTU</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表1</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163445" cy="4337685"/>
            <wp:effectExtent l="0" t="0" r="0" b="0"/>
            <wp:docPr id="6" name="图片 6" descr="25293896518_156299929174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5293896518_156299929174_01"/>
                    <pic:cNvPicPr>
                      <a:picLocks noChangeAspect="1"/>
                    </pic:cNvPicPr>
                  </pic:nvPicPr>
                  <pic:blipFill>
                    <a:blip r:embed="rId5">
                      <a:clrChange>
                        <a:clrFrom>
                          <a:srgbClr val="FFFFFF">
                            <a:alpha val="100000"/>
                          </a:srgbClr>
                        </a:clrFrom>
                        <a:clrTo>
                          <a:srgbClr val="FFFFFF">
                            <a:alpha val="100000"/>
                            <a:alpha val="0"/>
                          </a:srgbClr>
                        </a:clrTo>
                      </a:clrChange>
                    </a:blip>
                    <a:srcRect l="27685" t="10152" r="31286" b="7587"/>
                    <a:stretch>
                      <a:fillRect/>
                    </a:stretch>
                  </pic:blipFill>
                  <pic:spPr>
                    <a:xfrm>
                      <a:off x="0" y="0"/>
                      <a:ext cx="2163445" cy="433768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图2.1</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drawing>
          <wp:inline distT="0" distB="0" distL="114300" distR="114300">
            <wp:extent cx="2625725" cy="389699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6">
                      <a:clrChange>
                        <a:clrFrom>
                          <a:srgbClr val="FFFFFF">
                            <a:alpha val="100000"/>
                          </a:srgbClr>
                        </a:clrFrom>
                        <a:clrTo>
                          <a:srgbClr val="FFFFFF">
                            <a:alpha val="100000"/>
                            <a:alpha val="0"/>
                          </a:srgbClr>
                        </a:clrTo>
                      </a:clrChange>
                    </a:blip>
                    <a:stretch>
                      <a:fillRect/>
                    </a:stretch>
                  </pic:blipFill>
                  <pic:spPr>
                    <a:xfrm>
                      <a:off x="0" y="0"/>
                      <a:ext cx="2625725" cy="3896995"/>
                    </a:xfrm>
                    <a:prstGeom prst="rect">
                      <a:avLst/>
                    </a:prstGeom>
                    <a:noFill/>
                    <a:ln>
                      <a:noFill/>
                    </a:ln>
                  </pic:spPr>
                </pic:pic>
              </a:graphicData>
            </a:graphic>
          </wp:inline>
        </w:drawing>
      </w:r>
      <w:r>
        <w:drawing>
          <wp:inline distT="0" distB="0" distL="114300" distR="114300">
            <wp:extent cx="1673860" cy="3886835"/>
            <wp:effectExtent l="0" t="0" r="0" b="0"/>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pic:cNvPicPr>
                      <a:picLocks noChangeAspect="1"/>
                    </pic:cNvPicPr>
                  </pic:nvPicPr>
                  <pic:blipFill>
                    <a:blip r:embed="rId7">
                      <a:clrChange>
                        <a:clrFrom>
                          <a:srgbClr val="FFFFFF">
                            <a:alpha val="100000"/>
                          </a:srgbClr>
                        </a:clrFrom>
                        <a:clrTo>
                          <a:srgbClr val="FFFFFF">
                            <a:alpha val="100000"/>
                            <a:alpha val="0"/>
                          </a:srgbClr>
                        </a:clrTo>
                      </a:clrChange>
                    </a:blip>
                    <a:srcRect l="19153" r="13171"/>
                    <a:stretch>
                      <a:fillRect/>
                    </a:stretch>
                  </pic:blipFill>
                  <pic:spPr>
                    <a:xfrm>
                      <a:off x="0" y="0"/>
                      <a:ext cx="1673860" cy="388683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default" w:eastAsia="宋体"/>
          <w:lang w:val="en-US" w:eastAsia="zh-CN"/>
        </w:rPr>
      </w:pPr>
      <w:r>
        <w:rPr>
          <w:rFonts w:hint="eastAsia"/>
          <w:lang w:val="en-US" w:eastAsia="zh-CN"/>
        </w:rPr>
        <w:t>图2.3 尺寸图</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设备界面</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839845" cy="2305050"/>
            <wp:effectExtent l="0" t="0" r="8255" b="0"/>
            <wp:docPr id="3" name="图片 3"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
                    <pic:cNvPicPr>
                      <a:picLocks noChangeAspect="1"/>
                    </pic:cNvPicPr>
                  </pic:nvPicPr>
                  <pic:blipFill>
                    <a:blip r:embed="rId8"/>
                    <a:stretch>
                      <a:fillRect/>
                    </a:stretch>
                  </pic:blipFill>
                  <pic:spPr>
                    <a:xfrm>
                      <a:off x="0" y="0"/>
                      <a:ext cx="3839845" cy="2305050"/>
                    </a:xfrm>
                    <a:prstGeom prst="rect">
                      <a:avLst/>
                    </a:prstGeom>
                  </pic:spPr>
                </pic:pic>
              </a:graphicData>
            </a:graphic>
          </wp:inline>
        </w:drawing>
      </w:r>
    </w:p>
    <w:p>
      <w:pPr>
        <w:bidi w:val="0"/>
        <w:jc w:val="center"/>
        <w:rPr>
          <w:rFonts w:hint="default"/>
          <w:lang w:val="en-US" w:eastAsia="zh-CN"/>
        </w:rPr>
      </w:pPr>
      <w:r>
        <w:rPr>
          <w:rFonts w:hint="eastAsia"/>
          <w:lang w:val="en-US" w:eastAsia="zh-CN"/>
        </w:rPr>
        <w:t>图3.1 产品主界面</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889375" cy="2334260"/>
            <wp:effectExtent l="0" t="0" r="15875" b="889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9"/>
                    <a:stretch>
                      <a:fillRect/>
                    </a:stretch>
                  </pic:blipFill>
                  <pic:spPr>
                    <a:xfrm>
                      <a:off x="0" y="0"/>
                      <a:ext cx="3889375" cy="2334260"/>
                    </a:xfrm>
                    <a:prstGeom prst="rect">
                      <a:avLst/>
                    </a:prstGeom>
                  </pic:spPr>
                </pic:pic>
              </a:graphicData>
            </a:graphic>
          </wp:inline>
        </w:drawing>
      </w:r>
    </w:p>
    <w:p>
      <w:pPr>
        <w:bidi w:val="0"/>
        <w:jc w:val="center"/>
        <w:rPr>
          <w:rFonts w:hint="default"/>
          <w:lang w:val="en-US" w:eastAsia="zh-CN"/>
        </w:rPr>
      </w:pPr>
      <w:r>
        <w:rPr>
          <w:rFonts w:hint="eastAsia"/>
          <w:lang w:val="en-US" w:eastAsia="zh-CN"/>
        </w:rPr>
        <w:t>图3.2 更改模式界面</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3880485" cy="2329180"/>
            <wp:effectExtent l="0" t="0" r="5715" b="13970"/>
            <wp:docPr id="5"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
                    <pic:cNvPicPr>
                      <a:picLocks noChangeAspect="1"/>
                    </pic:cNvPicPr>
                  </pic:nvPicPr>
                  <pic:blipFill>
                    <a:blip r:embed="rId10"/>
                    <a:stretch>
                      <a:fillRect/>
                    </a:stretch>
                  </pic:blipFill>
                  <pic:spPr>
                    <a:xfrm>
                      <a:off x="0" y="0"/>
                      <a:ext cx="3880485" cy="2329180"/>
                    </a:xfrm>
                    <a:prstGeom prst="rect">
                      <a:avLst/>
                    </a:prstGeom>
                  </pic:spPr>
                </pic:pic>
              </a:graphicData>
            </a:graphic>
          </wp:inline>
        </w:drawing>
      </w:r>
    </w:p>
    <w:p>
      <w:pPr>
        <w:bidi w:val="0"/>
        <w:jc w:val="center"/>
        <w:rPr>
          <w:rFonts w:hint="default"/>
          <w:lang w:val="en-US" w:eastAsia="zh-CN"/>
        </w:rPr>
      </w:pPr>
      <w:r>
        <w:rPr>
          <w:rFonts w:hint="eastAsia"/>
          <w:lang w:val="en-US" w:eastAsia="zh-CN"/>
        </w:rPr>
        <w:t>图3.3 日志界面</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操作步骤</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设备上电220V，迪文屏亮起，显示图3.1。最上方为水质状态信息栏，显示数据采集时间、水质状态跟水质指数，一分钟一更新。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右下角有三个可触控按钮，分别为运行日志、模式更改与下一页</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点击运行日志，屏幕变为如图3.3所示日志界面，显示消息类型、日期、水质指数与日志内容。消息类型中会提示本次数据采集的类型，分为警告与正常，日志内容显示算法结果测得水中小鱼的存活状态。日志数据采集20分钟一条。</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点击返回，回到图3.1的主界面。点击模式更改，进入图3.2所示界面。此界面只显示通道的曲线图，一页界面显示4个通道，点击下一页，显示其余4个通道的曲线。</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在3.1界面点击下一页，可换页显示其余4个</w:t>
      </w:r>
      <w:bookmarkStart w:id="0" w:name="OLE_LINK7"/>
      <w:r>
        <w:rPr>
          <w:rFonts w:hint="eastAsia"/>
          <w:lang w:val="en-US" w:eastAsia="zh-CN"/>
        </w:rPr>
        <w:t>通道的曲</w:t>
      </w:r>
      <w:bookmarkEnd w:id="0"/>
      <w:r>
        <w:rPr>
          <w:rFonts w:hint="eastAsia"/>
          <w:lang w:val="en-US" w:eastAsia="zh-CN"/>
        </w:rPr>
        <w:t>线变化。</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运行流程</w:t>
      </w:r>
    </w:p>
    <w:p>
      <w:pPr>
        <w:keepNext w:val="0"/>
        <w:keepLines w:val="0"/>
        <w:pageBreakBefore w:val="0"/>
        <w:widowControl w:val="0"/>
        <w:numPr>
          <w:ilvl w:val="0"/>
          <w:numId w:val="0"/>
        </w:numPr>
        <w:kinsoku/>
        <w:wordWrap/>
        <w:overflowPunct/>
        <w:topLinePunct w:val="0"/>
        <w:autoSpaceDE/>
        <w:autoSpaceDN/>
        <w:bidi w:val="0"/>
        <w:adjustRightInd/>
        <w:snapToGrid/>
        <w:ind w:firstLine="657" w:firstLineChars="274"/>
        <w:jc w:val="both"/>
        <w:textAlignment w:val="auto"/>
        <w:rPr>
          <w:rFonts w:hint="eastAsia"/>
          <w:lang w:val="en-US" w:eastAsia="zh-CN"/>
        </w:rPr>
      </w:pPr>
      <w:r>
        <w:rPr>
          <w:rFonts w:hint="eastAsia"/>
          <w:lang w:val="en-US" w:eastAsia="zh-CN"/>
        </w:rPr>
        <w:t>柜机第一次使用时，通电后，柜机水桶处于无水状态，接通水源后，将自动上水。待柜机中水桶上水结束后，将进行测试罐体换水操作，等罐体装水结束后（如图所示），断开电源。</w:t>
      </w:r>
    </w:p>
    <w:p>
      <w:pPr>
        <w:keepNext w:val="0"/>
        <w:keepLines w:val="0"/>
        <w:pageBreakBefore w:val="0"/>
        <w:widowControl w:val="0"/>
        <w:numPr>
          <w:ilvl w:val="0"/>
          <w:numId w:val="0"/>
        </w:numPr>
        <w:kinsoku/>
        <w:wordWrap/>
        <w:overflowPunct/>
        <w:topLinePunct w:val="0"/>
        <w:autoSpaceDE/>
        <w:autoSpaceDN/>
        <w:bidi w:val="0"/>
        <w:adjustRightInd/>
        <w:snapToGrid/>
        <w:ind w:firstLine="657" w:firstLineChars="274"/>
        <w:jc w:val="both"/>
        <w:textAlignment w:val="auto"/>
        <w:rPr>
          <w:rFonts w:hint="default"/>
          <w:lang w:val="en-US" w:eastAsia="zh-CN"/>
        </w:rPr>
      </w:pPr>
      <w:r>
        <w:rPr>
          <w:rFonts w:hint="eastAsia"/>
          <w:lang w:val="en-US" w:eastAsia="zh-CN"/>
        </w:rPr>
        <w:t>断电后，拧开罐体上盖将青鳉鱼放入每一个罐体中（如图所示），上四个为测试组，下四个为对照组。拧紧罐体后，通电进行测试。</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default" w:ascii="黑体" w:hAnsi="黑体" w:eastAsia="黑体" w:cs="黑体"/>
          <w:b/>
          <w:bCs/>
          <w:sz w:val="30"/>
          <w:szCs w:val="30"/>
          <w:lang w:val="en-US" w:eastAsia="zh-CN"/>
        </w:rPr>
      </w:pPr>
      <w:r>
        <w:rPr>
          <w:rFonts w:hint="default" w:ascii="黑体" w:hAnsi="黑体" w:eastAsia="黑体" w:cs="黑体"/>
          <w:b/>
          <w:bCs/>
          <w:sz w:val="30"/>
          <w:szCs w:val="30"/>
          <w:lang w:val="en-US" w:eastAsia="zh-CN"/>
        </w:rPr>
        <w:drawing>
          <wp:inline distT="0" distB="0" distL="114300" distR="114300">
            <wp:extent cx="2976245" cy="1674495"/>
            <wp:effectExtent l="0" t="0" r="14605" b="1905"/>
            <wp:docPr id="12" name="图片 12" descr="lQDPJwbPWXSIzIfNCQDNEACw1VY-Afjsl1EG3iCx4sJ2AA_4096_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lQDPJwbPWXSIzIfNCQDNEACw1VY-Afjsl1EG3iCx4sJ2AA_4096_2304"/>
                    <pic:cNvPicPr>
                      <a:picLocks noChangeAspect="1"/>
                    </pic:cNvPicPr>
                  </pic:nvPicPr>
                  <pic:blipFill>
                    <a:blip r:embed="rId11"/>
                    <a:stretch>
                      <a:fillRect/>
                    </a:stretch>
                  </pic:blipFill>
                  <pic:spPr>
                    <a:xfrm>
                      <a:off x="0" y="0"/>
                      <a:ext cx="2976245" cy="1674495"/>
                    </a:xfrm>
                    <a:prstGeom prst="rect">
                      <a:avLst/>
                    </a:prstGeom>
                  </pic:spPr>
                </pic:pic>
              </a:graphicData>
            </a:graphic>
          </wp:inline>
        </w:drawing>
      </w:r>
      <w:r>
        <w:rPr>
          <w:rFonts w:hint="default" w:ascii="黑体" w:hAnsi="黑体" w:eastAsia="黑体" w:cs="黑体"/>
          <w:b/>
          <w:bCs/>
          <w:sz w:val="30"/>
          <w:szCs w:val="30"/>
          <w:lang w:val="en-US" w:eastAsia="zh-CN"/>
        </w:rPr>
        <w:drawing>
          <wp:inline distT="0" distB="0" distL="114300" distR="114300">
            <wp:extent cx="1148080" cy="1659255"/>
            <wp:effectExtent l="0" t="0" r="13970" b="17145"/>
            <wp:docPr id="11" name="图片 11" descr="lQDPJwRtFAAMWIfNDkjNCAiwxB9qbgnB8qkG3iCtswyTAA_2056_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lQDPJwRtFAAMWIfNDkjNCAiwxB9qbgnB8qkG3iCtswyTAA_2056_3656"/>
                    <pic:cNvPicPr>
                      <a:picLocks noChangeAspect="1"/>
                    </pic:cNvPicPr>
                  </pic:nvPicPr>
                  <pic:blipFill>
                    <a:blip r:embed="rId12"/>
                    <a:srcRect b="18766"/>
                    <a:stretch>
                      <a:fillRect/>
                    </a:stretch>
                  </pic:blipFill>
                  <pic:spPr>
                    <a:xfrm>
                      <a:off x="0" y="0"/>
                      <a:ext cx="1148080" cy="165925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图3.4</w:t>
      </w:r>
    </w:p>
    <w:p>
      <w:pPr>
        <w:keepNext w:val="0"/>
        <w:keepLines w:val="0"/>
        <w:pageBreakBefore w:val="0"/>
        <w:widowControl w:val="0"/>
        <w:numPr>
          <w:ilvl w:val="0"/>
          <w:numId w:val="0"/>
        </w:numPr>
        <w:kinsoku/>
        <w:wordWrap/>
        <w:overflowPunct/>
        <w:topLinePunct w:val="0"/>
        <w:autoSpaceDE/>
        <w:autoSpaceDN/>
        <w:bidi w:val="0"/>
        <w:adjustRightInd/>
        <w:snapToGrid/>
        <w:ind w:firstLine="657" w:firstLineChars="274"/>
        <w:jc w:val="both"/>
        <w:textAlignment w:val="auto"/>
        <w:rPr>
          <w:rFonts w:hint="eastAsia"/>
          <w:lang w:val="en-US" w:eastAsia="zh-CN"/>
        </w:rPr>
      </w:pPr>
      <w:r>
        <w:rPr>
          <w:rFonts w:hint="eastAsia"/>
          <w:lang w:val="en-US" w:eastAsia="zh-CN"/>
        </w:rPr>
        <w:t>柜机上点后，自动执行设定流程。上电后，柜机自动进行一次换水操作，随后，对照组进行隔断时间进行注入营养液操作。</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default"/>
          <w:lang w:val="en-US" w:eastAsia="zh-CN"/>
        </w:rPr>
      </w:pPr>
      <w:r>
        <w:rPr>
          <w:rFonts w:hint="default"/>
          <w:lang w:val="en-US" w:eastAsia="zh-CN"/>
        </w:rPr>
        <w:drawing>
          <wp:inline distT="0" distB="0" distL="114300" distR="114300">
            <wp:extent cx="3717925" cy="2230755"/>
            <wp:effectExtent l="0" t="0" r="15875" b="17145"/>
            <wp:docPr id="16" name="图片 1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片1"/>
                    <pic:cNvPicPr>
                      <a:picLocks noChangeAspect="1"/>
                    </pic:cNvPicPr>
                  </pic:nvPicPr>
                  <pic:blipFill>
                    <a:blip r:embed="rId13"/>
                    <a:stretch>
                      <a:fillRect/>
                    </a:stretch>
                  </pic:blipFill>
                  <pic:spPr>
                    <a:xfrm>
                      <a:off x="0" y="0"/>
                      <a:ext cx="3717925" cy="223075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default" w:ascii="宋体" w:hAnsi="宋体" w:eastAsia="宋体" w:cs="宋体"/>
          <w:b w:val="0"/>
          <w:bCs w:val="0"/>
          <w:lang w:val="en-US" w:eastAsia="zh-CN"/>
        </w:rPr>
      </w:pPr>
      <w:r>
        <w:rPr>
          <w:rFonts w:hint="eastAsia" w:ascii="宋体" w:hAnsi="宋体" w:eastAsia="宋体" w:cs="宋体"/>
          <w:b w:val="0"/>
          <w:bCs w:val="0"/>
          <w:lang w:val="en-US" w:eastAsia="zh-CN"/>
        </w:rPr>
        <w:t>图3.</w:t>
      </w:r>
      <w:r>
        <w:rPr>
          <w:rFonts w:hint="eastAsia" w:ascii="宋体" w:hAnsi="宋体" w:cs="宋体"/>
          <w:b w:val="0"/>
          <w:bCs w:val="0"/>
          <w:lang w:val="en-US" w:eastAsia="zh-CN"/>
        </w:rPr>
        <w:t>5</w:t>
      </w:r>
    </w:p>
    <w:p>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default" w:ascii="宋体" w:hAnsi="宋体" w:eastAsia="宋体" w:cs="宋体"/>
          <w:b w:val="0"/>
          <w:bCs w:val="0"/>
          <w:lang w:val="en-US" w:eastAsia="zh-CN"/>
        </w:rPr>
      </w:pPr>
      <w:r>
        <w:rPr>
          <w:rFonts w:hint="eastAsia" w:ascii="宋体" w:hAnsi="宋体" w:cs="宋体"/>
          <w:b w:val="0"/>
          <w:bCs w:val="0"/>
          <w:lang w:val="en-US" w:eastAsia="zh-CN"/>
        </w:rPr>
        <w:t>*波形仅供参考，请以实物为准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rPr>
          <w:rFonts w:hint="eastAsia"/>
          <w:lang w:val="en-US" w:eastAsia="zh-CN"/>
        </w:rPr>
        <w:t>如图3.4所示，左边一条直线即为死鱼（无鱼、水质不安全）的情况，右边杂乱的波形，即代表了有鱼（水质安全)的情况。</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第四章 云平台的使用</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4.1 精讯云介绍</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精讯云，精讯畅通研发的一款</w:t>
      </w:r>
      <w:r>
        <w:rPr>
          <w:rFonts w:hint="eastAsia" w:ascii="宋体" w:hAnsi="宋体" w:eastAsia="宋体" w:cs="宋体"/>
          <w:b w:val="0"/>
          <w:bCs w:val="0"/>
          <w:sz w:val="24"/>
          <w:szCs w:val="24"/>
        </w:rPr>
        <w:t>通用性物联网云平台</w:t>
      </w:r>
      <w:r>
        <w:rPr>
          <w:rFonts w:hint="eastAsia" w:ascii="宋体" w:hAnsi="宋体" w:eastAsia="宋体" w:cs="宋体"/>
          <w:sz w:val="24"/>
          <w:szCs w:val="24"/>
        </w:rPr>
        <w:t>，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w:t>
      </w:r>
      <w:r>
        <w:rPr>
          <w:rFonts w:hint="eastAsia" w:ascii="宋体" w:hAnsi="宋体" w:eastAsia="宋体" w:cs="宋体"/>
          <w:b w:val="0"/>
          <w:bCs w:val="0"/>
          <w:sz w:val="24"/>
          <w:szCs w:val="24"/>
        </w:rPr>
        <w:t>记录、查询、导出、比较</w:t>
      </w:r>
      <w:r>
        <w:rPr>
          <w:rFonts w:hint="eastAsia" w:ascii="宋体" w:hAnsi="宋体" w:eastAsia="宋体" w:cs="宋体"/>
          <w:sz w:val="24"/>
          <w:szCs w:val="24"/>
        </w:rPr>
        <w:t>等功能，主要是在应用层为客户提供一站式的加入服务。</w:t>
      </w:r>
    </w:p>
    <w:p>
      <w:p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4.2精讯云特点与优势</w:t>
      </w:r>
    </w:p>
    <w:p>
      <w:pPr>
        <w:ind w:firstLine="482" w:firstLineChars="20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4.2.1特点</w:t>
      </w:r>
    </w:p>
    <w:p>
      <w:pPr>
        <w:pStyle w:val="6"/>
        <w:numPr>
          <w:ilvl w:val="0"/>
          <w:numId w:val="4"/>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实用性和美观性：</w:t>
      </w:r>
      <w:r>
        <w:rPr>
          <w:rFonts w:hint="eastAsia" w:ascii="宋体" w:hAnsi="宋体" w:eastAsia="宋体" w:cs="宋体"/>
          <w:color w:val="000000"/>
          <w:sz w:val="24"/>
          <w:szCs w:val="24"/>
        </w:rPr>
        <w:t>根据应用系统的要求确定整个系统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的结构，即从系统功能和信息需求出发，拟建系统的结</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eastAsia="宋体" w:cs="宋体"/>
          <w:sz w:val="24"/>
          <w:szCs w:val="24"/>
        </w:rPr>
        <w:t>使应用充分满足使用者的访问需求。</w:t>
      </w:r>
      <w:r>
        <w:rPr>
          <w:rFonts w:hint="eastAsia" w:ascii="宋体" w:hAnsi="宋体" w:eastAsia="宋体" w:cs="宋体"/>
          <w:color w:val="000000"/>
          <w:sz w:val="24"/>
          <w:szCs w:val="24"/>
        </w:rPr>
        <w:t>在保证实用性的同时,应力求界面的美观、大方。</w:t>
      </w:r>
    </w:p>
    <w:p>
      <w:pPr>
        <w:pStyle w:val="6"/>
        <w:numPr>
          <w:ilvl w:val="0"/>
          <w:numId w:val="5"/>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稳定性：</w:t>
      </w:r>
      <w:r>
        <w:rPr>
          <w:rFonts w:hint="eastAsia" w:ascii="宋体" w:hAnsi="宋体" w:eastAsia="宋体" w:cs="宋体"/>
          <w:color w:val="000000"/>
          <w:sz w:val="24"/>
          <w:szCs w:val="24"/>
        </w:rPr>
        <w:t>高稳定性，系统总体可用率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99.7%，数据库应用可用率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99.8%，</w:t>
      </w:r>
      <w:r>
        <w:rPr>
          <w:rFonts w:hint="eastAsia" w:ascii="宋体" w:hAnsi="宋体" w:eastAsia="宋体" w:cs="宋体"/>
          <w:color w:val="000000"/>
          <w:sz w:val="24"/>
          <w:szCs w:val="24"/>
          <w:lang w:eastAsia="zh-CN"/>
        </w:rPr>
        <w:t>并且会定期维护</w:t>
      </w:r>
      <w:r>
        <w:rPr>
          <w:rFonts w:hint="eastAsia" w:ascii="宋体" w:hAnsi="宋体" w:eastAsia="宋体" w:cs="宋体"/>
          <w:color w:val="000000"/>
          <w:sz w:val="24"/>
          <w:szCs w:val="24"/>
        </w:rPr>
        <w:t>。</w:t>
      </w:r>
    </w:p>
    <w:p>
      <w:pPr>
        <w:pStyle w:val="6"/>
        <w:numPr>
          <w:ilvl w:val="0"/>
          <w:numId w:val="5"/>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易操作性：</w:t>
      </w:r>
      <w:r>
        <w:rPr>
          <w:rFonts w:hint="eastAsia" w:ascii="宋体" w:hAnsi="宋体" w:eastAsia="宋体" w:cs="宋体"/>
          <w:color w:val="000000"/>
          <w:sz w:val="24"/>
          <w:szCs w:val="24"/>
        </w:rPr>
        <w:t>提供友好的用户管理和使用界面</w:t>
      </w:r>
    </w:p>
    <w:p>
      <w:pPr>
        <w:pStyle w:val="6"/>
        <w:keepNext w:val="0"/>
        <w:keepLines w:val="0"/>
        <w:pageBreakBefore w:val="0"/>
        <w:widowControl w:val="0"/>
        <w:numPr>
          <w:ilvl w:val="0"/>
          <w:numId w:val="5"/>
        </w:numPr>
        <w:kinsoku/>
        <w:wordWrap/>
        <w:overflowPunct/>
        <w:topLinePunct w:val="0"/>
        <w:autoSpaceDE/>
        <w:autoSpaceDN/>
        <w:bidi w:val="0"/>
        <w:adjustRightInd/>
        <w:snapToGrid/>
        <w:spacing w:line="320" w:lineRule="exact"/>
        <w:ind w:left="1049" w:leftChars="0" w:hanging="42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可靠性：</w:t>
      </w:r>
      <w:r>
        <w:rPr>
          <w:rFonts w:hint="eastAsia" w:ascii="宋体" w:hAnsi="宋体" w:eastAsia="宋体" w:cs="宋体"/>
          <w:color w:val="000000"/>
          <w:sz w:val="24"/>
          <w:szCs w:val="24"/>
        </w:rPr>
        <w:t>，在系统设计时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通过选择优秀的产品和采用必要的技术手段确保系统的可靠性。</w:t>
      </w:r>
    </w:p>
    <w:p>
      <w:pPr>
        <w:pStyle w:val="6"/>
        <w:numPr>
          <w:ilvl w:val="0"/>
          <w:numId w:val="5"/>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eastAsia="zh-CN"/>
        </w:rPr>
        <w:t>兼容性：其他公司产品按照我司服务器协议，数据也可在我司平台产看</w:t>
      </w:r>
    </w:p>
    <w:p>
      <w:pPr>
        <w:pStyle w:val="6"/>
        <w:numPr>
          <w:ilvl w:val="0"/>
          <w:numId w:val="0"/>
        </w:numPr>
        <w:spacing w:line="320" w:lineRule="exact"/>
        <w:ind w:left="630" w:leftChars="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4.2.2优势</w:t>
      </w:r>
    </w:p>
    <w:p>
      <w:pPr>
        <w:pStyle w:val="6"/>
        <w:numPr>
          <w:ilvl w:val="0"/>
          <w:numId w:val="6"/>
        </w:numPr>
        <w:spacing w:line="320" w:lineRule="exact"/>
        <w:ind w:left="1050" w:leftChars="0" w:hanging="420" w:firstLineChars="0"/>
        <w:rPr>
          <w:rFonts w:hint="eastAsia" w:ascii="黑体" w:hAnsi="黑体" w:eastAsia="黑体" w:cs="黑体"/>
          <w:sz w:val="24"/>
          <w:szCs w:val="24"/>
          <w:lang w:val="en-US"/>
        </w:rPr>
      </w:pPr>
      <w:r>
        <w:rPr>
          <w:rFonts w:hint="eastAsia"/>
          <w:sz w:val="24"/>
          <w:szCs w:val="24"/>
          <w:lang w:eastAsia="zh-CN"/>
        </w:rPr>
        <w:t>支持私有化入口：</w:t>
      </w:r>
    </w:p>
    <w:p>
      <w:pPr>
        <w:pStyle w:val="6"/>
        <w:spacing w:line="320" w:lineRule="exact"/>
        <w:ind w:left="0" w:leftChars="0" w:firstLine="560" w:firstLineChars="0"/>
        <w:rPr>
          <w:rFonts w:hint="default" w:ascii="黑体" w:hAnsi="黑体" w:eastAsia="黑体" w:cs="黑体"/>
          <w:b/>
          <w:bCs/>
          <w:sz w:val="24"/>
          <w:szCs w:val="24"/>
          <w:lang w:val="en-US" w:eastAsia="zh-CN"/>
        </w:rPr>
      </w:pPr>
      <w:r>
        <w:rPr>
          <w:rFonts w:hint="eastAsia" w:ascii="宋体" w:hAnsi="宋体" w:cs="宋体"/>
          <w:sz w:val="24"/>
          <w:szCs w:val="24"/>
          <w:lang w:eastAsia="zh-CN"/>
        </w:rPr>
        <w:t>精讯云重点解决私有化部署的难题提供可配置“千人千面”界面与私有域名解析的服务</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黑体" w:hAnsi="黑体" w:eastAsia="黑体" w:cs="黑体"/>
          <w:lang w:val="en-US" w:eastAsia="zh-CN"/>
        </w:rPr>
      </w:pPr>
      <w:r>
        <w:rPr>
          <w:rFonts w:ascii="黑体" w:hAnsi="黑体" w:eastAsia="黑体" w:cs="黑体"/>
          <w:lang w:val="en-US" w:eastAsia="zh-CN"/>
        </w:rPr>
        <w:drawing>
          <wp:inline distT="0" distB="0" distL="114300" distR="114300">
            <wp:extent cx="1945005" cy="1530350"/>
            <wp:effectExtent l="0" t="0" r="17145" b="12700"/>
            <wp:docPr id="7" name="图片 1"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78"/>
                    <pic:cNvPicPr>
                      <a:picLocks noChangeAspect="1"/>
                    </pic:cNvPicPr>
                  </pic:nvPicPr>
                  <pic:blipFill>
                    <a:blip r:embed="rId14"/>
                    <a:stretch>
                      <a:fillRect/>
                    </a:stretch>
                  </pic:blipFill>
                  <pic:spPr>
                    <a:xfrm>
                      <a:off x="0" y="0"/>
                      <a:ext cx="1945005" cy="1530350"/>
                    </a:xfrm>
                    <a:prstGeom prst="rect">
                      <a:avLst/>
                    </a:prstGeom>
                    <a:noFill/>
                    <a:ln>
                      <a:noFill/>
                    </a:ln>
                  </pic:spPr>
                </pic:pic>
              </a:graphicData>
            </a:graphic>
          </wp:inline>
        </w:drawing>
      </w:r>
    </w:p>
    <w:p>
      <w:pPr>
        <w:pStyle w:val="6"/>
        <w:keepNext w:val="0"/>
        <w:keepLines w:val="0"/>
        <w:pageBreakBefore w:val="0"/>
        <w:widowControl w:val="0"/>
        <w:numPr>
          <w:ilvl w:val="0"/>
          <w:numId w:val="7"/>
        </w:numPr>
        <w:kinsoku/>
        <w:wordWrap/>
        <w:overflowPunct/>
        <w:topLinePunct w:val="0"/>
        <w:autoSpaceDE/>
        <w:autoSpaceDN/>
        <w:bidi w:val="0"/>
        <w:adjustRightInd/>
        <w:snapToGrid/>
        <w:spacing w:line="240" w:lineRule="auto"/>
        <w:ind w:left="1050" w:leftChars="0" w:hanging="420" w:firstLineChars="0"/>
        <w:textAlignment w:val="auto"/>
        <w:rPr>
          <w:rFonts w:hint="eastAsia" w:ascii="宋体" w:hAnsi="宋体" w:cs="宋体"/>
          <w:sz w:val="24"/>
          <w:szCs w:val="24"/>
          <w:lang w:val="en-US"/>
        </w:rPr>
      </w:pPr>
      <w:r>
        <w:rPr>
          <w:rFonts w:hint="eastAsia" w:ascii="宋体" w:hAnsi="宋体" w:cs="宋体"/>
          <w:sz w:val="24"/>
          <w:szCs w:val="24"/>
          <w:lang w:val="en-US" w:eastAsia="zh-CN"/>
        </w:rPr>
        <w:t xml:space="preserve"> 功能全面：</w:t>
      </w:r>
    </w:p>
    <w:p>
      <w:pPr>
        <w:pStyle w:val="6"/>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szCs w:val="24"/>
          <w:lang w:eastAsia="zh-CN"/>
        </w:rPr>
      </w:pPr>
      <w:r>
        <w:rPr>
          <w:rFonts w:hint="eastAsia" w:ascii="宋体" w:hAnsi="宋体" w:cs="宋体"/>
          <w:sz w:val="24"/>
          <w:szCs w:val="24"/>
        </w:rPr>
        <w:t>数据查询，地图显示，实时监控，报警提示，大屏监控，指令下发等功能</w:t>
      </w:r>
      <w:r>
        <w:rPr>
          <w:rFonts w:hint="eastAsia" w:ascii="宋体" w:hAnsi="宋体" w:cs="宋体"/>
          <w:sz w:val="24"/>
          <w:szCs w:val="24"/>
          <w:lang w:eastAsia="zh-CN"/>
        </w:rPr>
        <w:t>。</w:t>
      </w:r>
    </w:p>
    <w:p>
      <w:pPr>
        <w:pStyle w:val="6"/>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368675" cy="1673225"/>
            <wp:effectExtent l="0" t="0" r="3175" b="3175"/>
            <wp:docPr id="8" name="图片 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10"/>
                    <pic:cNvPicPr>
                      <a:picLocks noChangeAspect="1"/>
                    </pic:cNvPicPr>
                  </pic:nvPicPr>
                  <pic:blipFill>
                    <a:blip r:embed="rId15"/>
                    <a:srcRect t="11388" r="693"/>
                    <a:stretch>
                      <a:fillRect/>
                    </a:stretch>
                  </pic:blipFill>
                  <pic:spPr>
                    <a:xfrm>
                      <a:off x="0" y="0"/>
                      <a:ext cx="3368675" cy="1673225"/>
                    </a:xfrm>
                    <a:prstGeom prst="rect">
                      <a:avLst/>
                    </a:prstGeom>
                    <a:noFill/>
                    <a:ln>
                      <a:noFill/>
                    </a:ln>
                  </pic:spPr>
                </pic:pic>
              </a:graphicData>
            </a:graphic>
          </wp:inline>
        </w:drawing>
      </w:r>
    </w:p>
    <w:p>
      <w:pPr>
        <w:pStyle w:val="6"/>
        <w:numPr>
          <w:ilvl w:val="0"/>
          <w:numId w:val="7"/>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 微信小程序：</w:t>
      </w:r>
    </w:p>
    <w:p>
      <w:pPr>
        <w:pStyle w:val="6"/>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可以手机微信简单、方便查看设备状态、数据、设备绑定地点等。</w:t>
      </w:r>
    </w:p>
    <w:p>
      <w:pPr>
        <w:pStyle w:val="6"/>
        <w:spacing w:line="320" w:lineRule="exact"/>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633855" cy="2742565"/>
            <wp:effectExtent l="0" t="0" r="4445" b="635"/>
            <wp:docPr id="13" name="图片 3"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132"/>
                    <pic:cNvPicPr>
                      <a:picLocks noChangeAspect="1"/>
                    </pic:cNvPicPr>
                  </pic:nvPicPr>
                  <pic:blipFill>
                    <a:blip r:embed="rId16"/>
                    <a:stretch>
                      <a:fillRect/>
                    </a:stretch>
                  </pic:blipFill>
                  <pic:spPr>
                    <a:xfrm>
                      <a:off x="0" y="0"/>
                      <a:ext cx="1633855" cy="2742565"/>
                    </a:xfrm>
                    <a:prstGeom prst="rect">
                      <a:avLst/>
                    </a:prstGeom>
                    <a:noFill/>
                    <a:ln>
                      <a:noFill/>
                    </a:ln>
                  </pic:spPr>
                </pic:pic>
              </a:graphicData>
            </a:graphic>
          </wp:inline>
        </w:drawing>
      </w:r>
    </w:p>
    <w:p>
      <w:pPr>
        <w:pStyle w:val="2"/>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eastAsia="黑体" w:cs="黑体"/>
          <w:b/>
          <w:bCs/>
          <w:sz w:val="30"/>
          <w:szCs w:val="30"/>
          <w:lang w:val="en-US" w:eastAsia="zh-CN"/>
        </w:rPr>
      </w:pPr>
      <w:r>
        <w:rPr>
          <w:rFonts w:hint="eastAsia" w:ascii="黑体" w:hAnsi="黑体" w:cs="黑体"/>
          <w:b/>
          <w:bCs/>
          <w:kern w:val="2"/>
          <w:sz w:val="30"/>
          <w:szCs w:val="30"/>
          <w:lang w:val="en-US" w:eastAsia="zh-CN" w:bidi="ar-SA"/>
        </w:rPr>
        <w:t>4</w:t>
      </w:r>
      <w:r>
        <w:rPr>
          <w:rFonts w:hint="eastAsia" w:ascii="黑体" w:hAnsi="黑体" w:eastAsia="黑体" w:cs="黑体"/>
          <w:b/>
          <w:bCs/>
          <w:kern w:val="2"/>
          <w:sz w:val="30"/>
          <w:szCs w:val="30"/>
          <w:lang w:val="en-US" w:eastAsia="zh-CN" w:bidi="ar-SA"/>
        </w:rPr>
        <w:t>.3</w:t>
      </w:r>
      <w:r>
        <w:rPr>
          <w:rFonts w:hint="eastAsia" w:ascii="黑体" w:hAnsi="黑体" w:eastAsia="黑体" w:cs="黑体"/>
          <w:b/>
          <w:bCs/>
          <w:sz w:val="30"/>
          <w:szCs w:val="30"/>
          <w:lang w:val="en-US" w:eastAsia="zh-CN"/>
        </w:rPr>
        <w:t>精讯云平台注册和基本使用</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黑体" w:hAnsi="黑体" w:eastAsia="黑体" w:cs="黑体"/>
          <w:b/>
          <w:bCs/>
          <w:kern w:val="2"/>
          <w:sz w:val="24"/>
          <w:szCs w:val="24"/>
          <w:lang w:val="en-US" w:eastAsia="zh-CN" w:bidi="ar-SA"/>
        </w:rPr>
      </w:pPr>
      <w:r>
        <w:rPr>
          <w:rFonts w:hint="eastAsia" w:ascii="黑体" w:hAnsi="黑体" w:eastAsia="黑体" w:cs="黑体"/>
          <w:b/>
          <w:bCs/>
          <w:kern w:val="2"/>
          <w:sz w:val="24"/>
          <w:szCs w:val="24"/>
          <w:lang w:val="en-US" w:eastAsia="zh-CN" w:bidi="ar-SA"/>
        </w:rPr>
        <w:t>4.3.1平台注册</w:t>
      </w:r>
    </w:p>
    <w:p>
      <w:pPr>
        <w:pStyle w:val="6"/>
        <w:ind w:left="0" w:leftChars="0" w:firstLine="56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您输入网址（www.sennor.net）进入平台登录界面，如下图所示：</w:t>
      </w:r>
    </w:p>
    <w:p>
      <w:pPr>
        <w:pStyle w:val="6"/>
        <w:keepNext w:val="0"/>
        <w:keepLines w:val="0"/>
        <w:pageBreakBefore w:val="0"/>
        <w:widowControl w:val="0"/>
        <w:kinsoku/>
        <w:wordWrap/>
        <w:overflowPunct/>
        <w:topLinePunct w:val="0"/>
        <w:autoSpaceDE/>
        <w:autoSpaceDN/>
        <w:bidi w:val="0"/>
        <w:adjustRightInd/>
        <w:snapToGrid/>
        <w:ind w:left="0" w:leftChars="0"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856740" cy="1681480"/>
            <wp:effectExtent l="0" t="0" r="10160" b="13970"/>
            <wp:docPr id="14" name="图片 4"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 descr="C:\Users\pc502-6\Desktop\QQ截图20190117131411.pngQQ截图20190117131411"/>
                    <pic:cNvPicPr>
                      <a:picLocks noChangeAspect="1"/>
                    </pic:cNvPicPr>
                  </pic:nvPicPr>
                  <pic:blipFill>
                    <a:blip r:embed="rId17"/>
                    <a:stretch>
                      <a:fillRect/>
                    </a:stretch>
                  </pic:blipFill>
                  <pic:spPr>
                    <a:xfrm>
                      <a:off x="0" y="0"/>
                      <a:ext cx="1856740" cy="1681480"/>
                    </a:xfrm>
                    <a:prstGeom prst="rect">
                      <a:avLst/>
                    </a:prstGeom>
                    <a:noFill/>
                    <a:ln>
                      <a:noFill/>
                    </a:ln>
                  </pic:spPr>
                </pic:pic>
              </a:graphicData>
            </a:graphic>
          </wp:inline>
        </w:drawing>
      </w:r>
    </w:p>
    <w:p>
      <w:pPr>
        <w:pStyle w:val="6"/>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如果您已和售前人员联系，已帮您注册过账号，您可以直接使用已注册账号登录平台；若您没有和售前人员联系，帮您注册账号，您可以自己注册。</w:t>
      </w:r>
    </w:p>
    <w:p>
      <w:pPr>
        <w:pStyle w:val="6"/>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点击登录界面的“注册”会出现，如下图所示界面：</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709420" cy="1639570"/>
            <wp:effectExtent l="0" t="0" r="5080" b="17780"/>
            <wp:docPr id="15"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2"/>
                    <pic:cNvPicPr>
                      <a:picLocks noChangeAspect="1"/>
                    </pic:cNvPicPr>
                  </pic:nvPicPr>
                  <pic:blipFill>
                    <a:blip r:embed="rId18"/>
                    <a:stretch>
                      <a:fillRect/>
                    </a:stretch>
                  </pic:blipFill>
                  <pic:spPr>
                    <a:xfrm>
                      <a:off x="0" y="0"/>
                      <a:ext cx="1709420" cy="1639570"/>
                    </a:xfrm>
                    <a:prstGeom prst="rect">
                      <a:avLst/>
                    </a:prstGeom>
                    <a:noFill/>
                    <a:ln>
                      <a:noFill/>
                    </a:ln>
                  </pic:spPr>
                </pic:pic>
              </a:graphicData>
            </a:graphic>
          </wp:inline>
        </w:drawing>
      </w:r>
    </w:p>
    <w:p>
      <w:pPr>
        <w:pStyle w:val="6"/>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您再按照界面显示，注意填写每一栏相关的信息。</w:t>
      </w:r>
    </w:p>
    <w:p>
      <w:pPr>
        <w:pStyle w:val="6"/>
        <w:keepNext w:val="0"/>
        <w:keepLines w:val="0"/>
        <w:pageBreakBefore w:val="0"/>
        <w:widowControl w:val="0"/>
        <w:numPr>
          <w:ilvl w:val="0"/>
          <w:numId w:val="8"/>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按照提示先填写好“用户名”；</w:t>
      </w:r>
    </w:p>
    <w:p>
      <w:pPr>
        <w:pStyle w:val="6"/>
        <w:keepNext w:val="0"/>
        <w:keepLines w:val="0"/>
        <w:pageBreakBefore w:val="0"/>
        <w:widowControl w:val="0"/>
        <w:numPr>
          <w:ilvl w:val="0"/>
          <w:numId w:val="8"/>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再根据提示填写好“设置密码”，填写好“密码”</w:t>
      </w:r>
    </w:p>
    <w:p>
      <w:pPr>
        <w:pStyle w:val="6"/>
        <w:numPr>
          <w:ilvl w:val="0"/>
          <w:numId w:val="8"/>
        </w:numPr>
        <w:ind w:left="105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将刚刚填写的“密码”，在第三栏中，再次确认填写</w:t>
      </w:r>
    </w:p>
    <w:p>
      <w:pPr>
        <w:pStyle w:val="6"/>
        <w:numPr>
          <w:ilvl w:val="0"/>
          <w:numId w:val="8"/>
        </w:numPr>
        <w:ind w:left="1055" w:leftChars="0" w:hanging="425" w:firstLineChars="0"/>
        <w:rPr>
          <w:rFonts w:hint="eastAsia" w:ascii="宋体" w:hAnsi="宋体" w:cs="宋体"/>
          <w:sz w:val="24"/>
          <w:szCs w:val="24"/>
          <w:lang w:val="en-US" w:eastAsia="zh-CN"/>
        </w:rPr>
      </w:pPr>
      <w:r>
        <w:rPr>
          <w:rFonts w:hint="eastAsia" w:ascii="宋体" w:hAnsi="宋体" w:cs="宋体"/>
          <w:sz w:val="24"/>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pPr>
        <w:pStyle w:val="6"/>
        <w:keepNext w:val="0"/>
        <w:keepLines w:val="0"/>
        <w:pageBreakBefore w:val="0"/>
        <w:widowControl w:val="0"/>
        <w:kinsoku/>
        <w:wordWrap/>
        <w:overflowPunct/>
        <w:topLinePunct w:val="0"/>
        <w:autoSpaceDE/>
        <w:autoSpaceDN/>
        <w:bidi w:val="0"/>
        <w:adjustRightInd/>
        <w:snapToGrid/>
        <w:ind w:firstLine="180" w:firstLineChars="75"/>
        <w:textAlignment w:val="auto"/>
        <w:rPr>
          <w:rFonts w:hint="eastAsia" w:ascii="宋体" w:hAnsi="宋体" w:cs="宋体"/>
          <w:sz w:val="24"/>
          <w:szCs w:val="24"/>
          <w:lang w:val="en-US" w:eastAsia="zh-CN"/>
        </w:rPr>
      </w:pPr>
      <w:r>
        <w:rPr>
          <w:rFonts w:hint="eastAsia" w:ascii="宋体" w:hAnsi="宋体" w:cs="宋体"/>
          <w:sz w:val="24"/>
          <w:szCs w:val="24"/>
          <w:lang w:val="en-US" w:eastAsia="zh-CN"/>
        </w:rPr>
        <w:t>您写填完注册信息后，点击“立即注册”，就完成平台账号的注册，可以使用刚刚注册的账号和密码，登录使用平台。</w:t>
      </w:r>
    </w:p>
    <w:p>
      <w:pPr>
        <w:pStyle w:val="6"/>
        <w:keepNext w:val="0"/>
        <w:keepLines w:val="0"/>
        <w:pageBreakBefore w:val="0"/>
        <w:widowControl w:val="0"/>
        <w:numPr>
          <w:ilvl w:val="0"/>
          <w:numId w:val="0"/>
        </w:numPr>
        <w:kinsoku/>
        <w:wordWrap/>
        <w:overflowPunct/>
        <w:topLinePunct w:val="0"/>
        <w:autoSpaceDE/>
        <w:autoSpaceDN/>
        <w:bidi w:val="0"/>
        <w:adjustRightInd/>
        <w:snapToGrid/>
        <w:ind w:left="0" w:leftChars="0"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lang w:val="en-US" w:eastAsia="zh-CN"/>
        </w:rPr>
        <w:t>4.3.2平台的基本使用</w:t>
      </w:r>
    </w:p>
    <w:p>
      <w:pPr>
        <w:pStyle w:val="6"/>
        <w:ind w:firstLine="480"/>
        <w:rPr>
          <w:rFonts w:hint="eastAsia" w:ascii="宋体" w:hAnsi="宋体" w:cs="宋体"/>
          <w:sz w:val="24"/>
          <w:szCs w:val="24"/>
          <w:lang w:val="en-US" w:eastAsia="zh-CN"/>
        </w:rPr>
      </w:pPr>
      <w:r>
        <w:rPr>
          <w:rFonts w:hint="eastAsia" w:ascii="宋体" w:hAnsi="宋体" w:cs="宋体"/>
          <w:sz w:val="24"/>
          <w:szCs w:val="24"/>
          <w:lang w:val="en-US" w:eastAsia="zh-CN"/>
        </w:rPr>
        <w:t>使用账号和密码登录平台，进入平台主界面，如下图所示：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225800" cy="1484630"/>
            <wp:effectExtent l="0" t="0" r="12700" b="1270"/>
            <wp:docPr id="17" name="图片 6"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C:\Users\pc502-6\Desktop\1.png1"/>
                    <pic:cNvPicPr>
                      <a:picLocks noChangeAspect="1"/>
                    </pic:cNvPicPr>
                  </pic:nvPicPr>
                  <pic:blipFill>
                    <a:blip r:embed="rId19"/>
                    <a:stretch>
                      <a:fillRect/>
                    </a:stretch>
                  </pic:blipFill>
                  <pic:spPr>
                    <a:xfrm>
                      <a:off x="0" y="0"/>
                      <a:ext cx="3225800" cy="1484630"/>
                    </a:xfrm>
                    <a:prstGeom prst="rect">
                      <a:avLst/>
                    </a:prstGeom>
                    <a:noFill/>
                    <a:ln>
                      <a:noFill/>
                    </a:ln>
                  </pic:spPr>
                </pic:pic>
              </a:graphicData>
            </a:graphic>
          </wp:inline>
        </w:drawing>
      </w:r>
    </w:p>
    <w:p>
      <w:pPr>
        <w:pStyle w:val="6"/>
        <w:ind w:firstLine="480"/>
        <w:rPr>
          <w:rFonts w:hint="eastAsia" w:ascii="宋体" w:hAnsi="宋体" w:eastAsia="宋体" w:cs="宋体"/>
          <w:sz w:val="24"/>
          <w:szCs w:val="24"/>
          <w:lang w:val="en-US" w:eastAsia="zh-CN"/>
        </w:rPr>
      </w:pPr>
      <w:r>
        <w:rPr>
          <w:rFonts w:hint="eastAsia" w:ascii="宋体" w:hAnsi="宋体" w:eastAsia="宋体" w:cs="宋体"/>
          <w:sz w:val="24"/>
          <w:szCs w:val="24"/>
        </w:rPr>
        <w:t>左侧为系统导航菜单</w:t>
      </w:r>
      <w:r>
        <w:rPr>
          <w:rFonts w:hint="eastAsia" w:ascii="宋体" w:hAnsi="宋体" w:eastAsia="宋体" w:cs="宋体"/>
          <w:sz w:val="24"/>
          <w:szCs w:val="24"/>
          <w:lang w:eastAsia="zh-CN"/>
        </w:rPr>
        <w:t>，</w:t>
      </w:r>
      <w:r>
        <w:rPr>
          <w:rFonts w:hint="eastAsia" w:ascii="宋体" w:hAnsi="宋体" w:eastAsia="宋体" w:cs="宋体"/>
          <w:sz w:val="24"/>
          <w:szCs w:val="24"/>
        </w:rPr>
        <w:t>右侧为系统</w:t>
      </w:r>
      <w:r>
        <w:rPr>
          <w:rFonts w:hint="eastAsia" w:ascii="宋体" w:hAnsi="宋体" w:eastAsia="宋体" w:cs="宋体"/>
          <w:sz w:val="24"/>
          <w:szCs w:val="24"/>
          <w:lang w:eastAsia="zh-CN"/>
        </w:rPr>
        <w:t>相关信息、设备相关信息。</w:t>
      </w:r>
    </w:p>
    <w:p>
      <w:pPr>
        <w:ind w:firstLine="480" w:firstLineChars="200"/>
        <w:rPr>
          <w:rFonts w:hint="eastAsia" w:ascii="宋体" w:hAnsi="宋体" w:eastAsia="宋体" w:cs="宋体"/>
          <w:sz w:val="24"/>
          <w:szCs w:val="24"/>
        </w:rPr>
      </w:pP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“数据中心-&gt;地图显示”可通过地图形式查看设备绑定的地点以及设备的名称，此种方式可以一次性观察绑定的设备数量，非常直观，适合向政府机构展示使用。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“数据中心-&gt;列表显示”可查看绑定设备的数量以及设备的名称，适合统计使用。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“数据中心-&gt;图形化显示”可以通过所搜设备的ID，查看数据。</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“数据中心-&gt;历史数据”可以输入设备的ID，可以查看设备任意上传时间的数据。</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2218690" cy="970915"/>
            <wp:effectExtent l="0" t="0" r="10160" b="635"/>
            <wp:docPr id="18" name="图片 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descr="11"/>
                    <pic:cNvPicPr>
                      <a:picLocks noChangeAspect="1"/>
                    </pic:cNvPicPr>
                  </pic:nvPicPr>
                  <pic:blipFill>
                    <a:blip r:embed="rId20"/>
                    <a:stretch>
                      <a:fillRect/>
                    </a:stretch>
                  </pic:blipFill>
                  <pic:spPr>
                    <a:xfrm>
                      <a:off x="0" y="0"/>
                      <a:ext cx="2218690" cy="970915"/>
                    </a:xfrm>
                    <a:prstGeom prst="rect">
                      <a:avLst/>
                    </a:prstGeom>
                    <a:noFill/>
                    <a:ln>
                      <a:noFill/>
                    </a:ln>
                  </pic:spPr>
                </pic:pic>
              </a:graphicData>
            </a:graphic>
          </wp:inline>
        </w:drawing>
      </w:r>
    </w:p>
    <w:p>
      <w:pPr>
        <w:ind w:firstLine="480" w:firstLineChars="200"/>
        <w:rPr>
          <w:rFonts w:hint="eastAsia" w:ascii="宋体" w:hAnsi="宋体" w:cs="宋体"/>
          <w:lang w:val="en-US" w:eastAsia="zh-CN"/>
        </w:rPr>
      </w:pPr>
      <w:r>
        <w:rPr>
          <w:rFonts w:hint="eastAsia" w:ascii="宋体" w:hAnsi="宋体" w:eastAsia="宋体" w:cs="宋体"/>
          <w:sz w:val="24"/>
          <w:szCs w:val="24"/>
        </w:rPr>
        <w:t>“设备中心-&gt;设备管理”可以通过搜索设备ID，查看设备数据；点击左上角“添加设备”，可以进行设备的添加，如下图所示：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409700" cy="1429385"/>
            <wp:effectExtent l="0" t="0" r="0" b="18415"/>
            <wp:docPr id="19" name="图片 8"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8" descr="C:\Users\pc502-6\Desktop\11.png11"/>
                    <pic:cNvPicPr>
                      <a:picLocks noChangeAspect="1"/>
                    </pic:cNvPicPr>
                  </pic:nvPicPr>
                  <pic:blipFill>
                    <a:blip r:embed="rId21"/>
                    <a:stretch>
                      <a:fillRect/>
                    </a:stretch>
                  </pic:blipFill>
                  <pic:spPr>
                    <a:xfrm>
                      <a:off x="0" y="0"/>
                      <a:ext cx="1409700" cy="1429385"/>
                    </a:xfrm>
                    <a:prstGeom prst="rect">
                      <a:avLst/>
                    </a:prstGeom>
                    <a:noFill/>
                    <a:ln>
                      <a:noFill/>
                    </a:ln>
                  </pic:spPr>
                </pic:pic>
              </a:graphicData>
            </a:graphic>
          </wp:inline>
        </w:drawing>
      </w:r>
    </w:p>
    <w:p>
      <w:pPr>
        <w:ind w:firstLine="560" w:firstLineChars="0"/>
        <w:rPr>
          <w:rFonts w:hint="eastAsia" w:ascii="宋体" w:hAnsi="宋体" w:eastAsia="宋体" w:cs="宋体"/>
          <w:sz w:val="24"/>
          <w:szCs w:val="24"/>
        </w:rPr>
      </w:pPr>
      <w:r>
        <w:rPr>
          <w:rFonts w:hint="eastAsia" w:ascii="宋体" w:hAnsi="宋体" w:eastAsia="宋体" w:cs="宋体"/>
          <w:sz w:val="24"/>
          <w:szCs w:val="24"/>
        </w:rPr>
        <w:t>根据界面的提示，进行设备的添加。</w:t>
      </w:r>
    </w:p>
    <w:p>
      <w:pPr>
        <w:numPr>
          <w:ilvl w:val="0"/>
          <w:numId w:val="9"/>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“名称”可填写您自己需要的；</w:t>
      </w:r>
    </w:p>
    <w:p>
      <w:pPr>
        <w:numPr>
          <w:ilvl w:val="0"/>
          <w:numId w:val="9"/>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“设备号”即设备的ID，例如：16F3F88714BB,将这组数值填写到“设备号”一栏即可；</w:t>
      </w:r>
    </w:p>
    <w:p>
      <w:pPr>
        <w:numPr>
          <w:ilvl w:val="0"/>
          <w:numId w:val="9"/>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“初始密码”一栏，可以填写，也可以不填写，具体根据您自己的需求；</w:t>
      </w:r>
    </w:p>
    <w:p>
      <w:pPr>
        <w:numPr>
          <w:ilvl w:val="0"/>
          <w:numId w:val="9"/>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“设备分组”是把设备添加到您分好的组别中，具体的分组根据您的需求；</w:t>
      </w:r>
    </w:p>
    <w:p>
      <w:pPr>
        <w:numPr>
          <w:ilvl w:val="0"/>
          <w:numId w:val="9"/>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“设备地址”点击右侧的蓝色坐标箭头，进入地图里，然后拖动地图内部的一个蓝色箭头，进行坐标的定位，确定好坐标后，点击“确认”。如下图所示：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2178685" cy="1240790"/>
            <wp:effectExtent l="0" t="0" r="12065" b="16510"/>
            <wp:docPr id="20"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11"/>
                    <pic:cNvPicPr>
                      <a:picLocks noChangeAspect="1"/>
                    </pic:cNvPicPr>
                  </pic:nvPicPr>
                  <pic:blipFill>
                    <a:blip r:embed="rId22"/>
                    <a:stretch>
                      <a:fillRect/>
                    </a:stretch>
                  </pic:blipFill>
                  <pic:spPr>
                    <a:xfrm>
                      <a:off x="0" y="0"/>
                      <a:ext cx="2178685" cy="1240790"/>
                    </a:xfrm>
                    <a:prstGeom prst="rect">
                      <a:avLst/>
                    </a:prstGeom>
                    <a:noFill/>
                    <a:ln>
                      <a:noFill/>
                    </a:ln>
                  </pic:spPr>
                </pic:pic>
              </a:graphicData>
            </a:graphic>
          </wp:inline>
        </w:drawing>
      </w:r>
    </w:p>
    <w:p>
      <w:pPr>
        <w:spacing w:line="240" w:lineRule="auto"/>
        <w:rPr>
          <w:rFonts w:hint="eastAsia" w:ascii="宋体" w:hAnsi="宋体" w:eastAsia="宋体" w:cs="宋体"/>
          <w:sz w:val="24"/>
          <w:szCs w:val="24"/>
        </w:rPr>
      </w:pPr>
      <w:r>
        <w:rPr>
          <w:rFonts w:hint="eastAsia" w:ascii="宋体" w:hAnsi="宋体" w:eastAsia="宋体" w:cs="宋体"/>
          <w:sz w:val="24"/>
          <w:szCs w:val="24"/>
        </w:rPr>
        <w:t>最后再点击“添加”，即可完成设备的添加。</w:t>
      </w:r>
    </w:p>
    <w:p>
      <w:pPr>
        <w:spacing w:line="24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“设备中心-&gt;分组管理”可以进行设备的分组，将不同类别的传感器绑定到相应的分组中。</w:t>
      </w:r>
    </w:p>
    <w:p>
      <w:pPr>
        <w:spacing w:line="240" w:lineRule="auto"/>
        <w:ind w:firstLine="480" w:firstLineChars="200"/>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347595" cy="1042035"/>
            <wp:effectExtent l="0" t="0" r="14605" b="5715"/>
            <wp:docPr id="21" name="图片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11"/>
                    <pic:cNvPicPr>
                      <a:picLocks noChangeAspect="1"/>
                    </pic:cNvPicPr>
                  </pic:nvPicPr>
                  <pic:blipFill>
                    <a:blip r:embed="rId23"/>
                    <a:stretch>
                      <a:fillRect/>
                    </a:stretch>
                  </pic:blipFill>
                  <pic:spPr>
                    <a:xfrm>
                      <a:off x="0" y="0"/>
                      <a:ext cx="2347595" cy="1042035"/>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点击左上角的“添加一级分组”，填写需要分组的名称，再点击“确认”即可。</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“设备中心-&gt;指令下发”可以指定的设备进行指令的修改。如下图所示：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1450975" cy="1579245"/>
            <wp:effectExtent l="0" t="0" r="15875" b="1905"/>
            <wp:docPr id="22"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1" descr="11"/>
                    <pic:cNvPicPr>
                      <a:picLocks noChangeAspect="1"/>
                    </pic:cNvPicPr>
                  </pic:nvPicPr>
                  <pic:blipFill>
                    <a:blip r:embed="rId24"/>
                    <a:stretch>
                      <a:fillRect/>
                    </a:stretch>
                  </pic:blipFill>
                  <pic:spPr>
                    <a:xfrm>
                      <a:off x="0" y="0"/>
                      <a:ext cx="1450975" cy="1579245"/>
                    </a:xfrm>
                    <a:prstGeom prst="rect">
                      <a:avLst/>
                    </a:prstGeom>
                    <a:noFill/>
                    <a:ln>
                      <a:noFill/>
                    </a:ln>
                  </pic:spPr>
                </pic:pic>
              </a:graphicData>
            </a:graphic>
          </wp:inline>
        </w:drawing>
      </w:r>
    </w:p>
    <w:p>
      <w:pPr>
        <w:numPr>
          <w:ilvl w:val="0"/>
          <w:numId w:val="10"/>
        </w:numPr>
        <w:ind w:left="210" w:leftChars="0" w:firstLineChars="0"/>
        <w:rPr>
          <w:rFonts w:hint="eastAsia" w:ascii="宋体" w:hAnsi="宋体" w:eastAsia="宋体" w:cs="宋体"/>
          <w:sz w:val="24"/>
          <w:szCs w:val="24"/>
        </w:rPr>
      </w:pPr>
      <w:r>
        <w:rPr>
          <w:rFonts w:hint="eastAsia" w:ascii="宋体" w:hAnsi="宋体" w:eastAsia="宋体" w:cs="宋体"/>
          <w:sz w:val="24"/>
          <w:szCs w:val="24"/>
        </w:rPr>
        <w:t>点击“设备类型”选择传感器类型，</w:t>
      </w:r>
    </w:p>
    <w:p>
      <w:pPr>
        <w:numPr>
          <w:ilvl w:val="0"/>
          <w:numId w:val="10"/>
        </w:numPr>
        <w:ind w:left="210" w:leftChars="0" w:firstLineChars="0"/>
        <w:rPr>
          <w:rFonts w:hint="eastAsia" w:ascii="宋体" w:hAnsi="宋体" w:eastAsia="宋体" w:cs="宋体"/>
          <w:sz w:val="24"/>
          <w:szCs w:val="24"/>
        </w:rPr>
      </w:pPr>
      <w:r>
        <w:rPr>
          <w:rFonts w:hint="eastAsia" w:ascii="宋体" w:hAnsi="宋体" w:eastAsia="宋体" w:cs="宋体"/>
          <w:sz w:val="24"/>
          <w:szCs w:val="24"/>
        </w:rPr>
        <w:t>在“设备号”输入(例如：16F3F88714BB)设备的ID；</w:t>
      </w:r>
    </w:p>
    <w:p>
      <w:pPr>
        <w:numPr>
          <w:ilvl w:val="0"/>
          <w:numId w:val="10"/>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0"/>
        </w:numPr>
        <w:ind w:left="210" w:leftChars="0" w:firstLineChars="0"/>
        <w:rPr>
          <w:rFonts w:hint="eastAsia" w:ascii="宋体" w:hAnsi="宋体" w:eastAsia="宋体" w:cs="宋体"/>
          <w:sz w:val="24"/>
          <w:szCs w:val="24"/>
        </w:rPr>
      </w:pPr>
      <w:r>
        <w:rPr>
          <w:rFonts w:hint="eastAsia" w:ascii="宋体" w:hAnsi="宋体" w:eastAsia="宋体" w:cs="宋体"/>
          <w:sz w:val="24"/>
          <w:szCs w:val="24"/>
        </w:rPr>
        <w:t>“指令”下发根据您的需求使用</w:t>
      </w:r>
    </w:p>
    <w:p>
      <w:pPr>
        <w:numPr>
          <w:ilvl w:val="0"/>
          <w:numId w:val="10"/>
        </w:numPr>
        <w:ind w:left="210" w:leftChars="0" w:firstLineChars="0"/>
        <w:rPr>
          <w:rFonts w:hint="eastAsia" w:ascii="宋体" w:hAnsi="宋体" w:eastAsia="宋体" w:cs="宋体"/>
          <w:sz w:val="24"/>
          <w:szCs w:val="24"/>
        </w:rPr>
      </w:pPr>
      <w:r>
        <w:rPr>
          <w:rFonts w:hint="eastAsia" w:ascii="宋体" w:hAnsi="宋体" w:eastAsia="宋体" w:cs="宋体"/>
          <w:sz w:val="24"/>
          <w:szCs w:val="24"/>
        </w:rPr>
        <w:t>“数值”的填写根据需求修改</w:t>
      </w:r>
    </w:p>
    <w:p>
      <w:pPr>
        <w:ind w:firstLine="240" w:firstLineChars="100"/>
        <w:rPr>
          <w:rFonts w:hint="eastAsia" w:ascii="宋体" w:hAnsi="宋体" w:eastAsia="宋体" w:cs="宋体"/>
          <w:sz w:val="24"/>
          <w:szCs w:val="24"/>
        </w:rPr>
      </w:pPr>
      <w:r>
        <w:rPr>
          <w:rFonts w:hint="eastAsia" w:ascii="宋体" w:hAnsi="宋体" w:eastAsia="宋体" w:cs="宋体"/>
          <w:sz w:val="24"/>
          <w:szCs w:val="24"/>
        </w:rPr>
        <w:t>填写以上信息，再点击“下发”，即可完成设备指令的修改和下发。</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注：网络继电器和NB电信设备可以下发指令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“触发器管理-&gt;触发器列表”可以通过查看已添加的触发报警和添加触发报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警。下图所示：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506980" cy="1009650"/>
            <wp:effectExtent l="0" t="0" r="7620" b="0"/>
            <wp:docPr id="23" name="图片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descr="11"/>
                    <pic:cNvPicPr>
                      <a:picLocks noChangeAspect="1"/>
                    </pic:cNvPicPr>
                  </pic:nvPicPr>
                  <pic:blipFill>
                    <a:blip r:embed="rId25"/>
                    <a:stretch>
                      <a:fillRect/>
                    </a:stretch>
                  </pic:blipFill>
                  <pic:spPr>
                    <a:xfrm>
                      <a:off x="0" y="0"/>
                      <a:ext cx="2506980" cy="1009650"/>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点击左上角“添加触发”，进入添加触发的界面，如图所示：</w:t>
      </w:r>
    </w:p>
    <w:p>
      <w:pPr>
        <w:keepNext w:val="0"/>
        <w:keepLines w:val="0"/>
        <w:pageBreakBefore w:val="0"/>
        <w:widowControl w:val="0"/>
        <w:kinsoku/>
        <w:wordWrap/>
        <w:overflowPunct/>
        <w:topLinePunct w:val="0"/>
        <w:autoSpaceDE/>
        <w:autoSpaceDN/>
        <w:bidi w:val="0"/>
        <w:adjustRightInd/>
        <w:snapToGrid/>
        <w:jc w:val="center"/>
        <w:textAlignment w:val="auto"/>
      </w:pPr>
      <w:r>
        <w:drawing>
          <wp:inline distT="0" distB="0" distL="114300" distR="114300">
            <wp:extent cx="1140460" cy="1162685"/>
            <wp:effectExtent l="0" t="0" r="2540" b="18415"/>
            <wp:docPr id="24"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descr="11"/>
                    <pic:cNvPicPr>
                      <a:picLocks noChangeAspect="1"/>
                    </pic:cNvPicPr>
                  </pic:nvPicPr>
                  <pic:blipFill>
                    <a:blip r:embed="rId26"/>
                    <a:stretch>
                      <a:fillRect/>
                    </a:stretch>
                  </pic:blipFill>
                  <pic:spPr>
                    <a:xfrm>
                      <a:off x="0" y="0"/>
                      <a:ext cx="1140460" cy="1162685"/>
                    </a:xfrm>
                    <a:prstGeom prst="rect">
                      <a:avLst/>
                    </a:prstGeom>
                    <a:noFill/>
                    <a:ln>
                      <a:noFill/>
                    </a:ln>
                  </pic:spPr>
                </pic:pic>
              </a:graphicData>
            </a:graphic>
          </wp:inline>
        </w:drawing>
      </w:r>
    </w:p>
    <w:p>
      <w:pPr>
        <w:numPr>
          <w:ilvl w:val="0"/>
          <w:numId w:val="11"/>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触发“名称”根据您的需求填写</w:t>
      </w:r>
    </w:p>
    <w:p>
      <w:pPr>
        <w:numPr>
          <w:ilvl w:val="0"/>
          <w:numId w:val="11"/>
        </w:numPr>
        <w:ind w:left="210" w:leftChars="0" w:firstLineChars="0"/>
        <w:rPr>
          <w:rFonts w:hint="eastAsia" w:ascii="宋体" w:hAnsi="宋体" w:eastAsia="宋体" w:cs="宋体"/>
          <w:sz w:val="24"/>
          <w:szCs w:val="24"/>
        </w:rPr>
      </w:pPr>
      <w:r>
        <w:rPr>
          <w:rFonts w:hint="eastAsia" w:ascii="宋体" w:hAnsi="宋体" w:eastAsia="宋体" w:cs="宋体"/>
          <w:sz w:val="24"/>
          <w:szCs w:val="24"/>
        </w:rPr>
        <w:t>“节点编号”请看注释</w:t>
      </w:r>
    </w:p>
    <w:p>
      <w:pPr>
        <w:numPr>
          <w:ilvl w:val="0"/>
          <w:numId w:val="11"/>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1"/>
        </w:numPr>
        <w:ind w:left="210" w:leftChars="0" w:firstLineChars="0"/>
        <w:rPr>
          <w:rFonts w:hint="eastAsia" w:ascii="宋体" w:hAnsi="宋体" w:eastAsia="宋体" w:cs="宋体"/>
          <w:sz w:val="24"/>
          <w:szCs w:val="24"/>
        </w:rPr>
      </w:pPr>
      <w:r>
        <w:rPr>
          <w:rFonts w:hint="eastAsia" w:ascii="宋体" w:hAnsi="宋体" w:eastAsia="宋体" w:cs="宋体"/>
          <w:sz w:val="24"/>
          <w:szCs w:val="24"/>
        </w:rPr>
        <w:t>“推送类型”根据您的需求</w:t>
      </w:r>
    </w:p>
    <w:p>
      <w:pPr>
        <w:numPr>
          <w:ilvl w:val="0"/>
          <w:numId w:val="11"/>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“触发表达式”value后填写大于、小于、不大于或者不小于，然后再根据需求填写数值；例如：value&gt;20</w:t>
      </w:r>
    </w:p>
    <w:p>
      <w:pPr>
        <w:rPr>
          <w:rFonts w:hint="eastAsia" w:ascii="宋体" w:hAnsi="宋体" w:eastAsia="宋体" w:cs="宋体"/>
          <w:sz w:val="24"/>
          <w:szCs w:val="24"/>
        </w:rPr>
      </w:pPr>
      <w:r>
        <w:rPr>
          <w:rFonts w:hint="eastAsia" w:ascii="宋体" w:hAnsi="宋体" w:eastAsia="宋体" w:cs="宋体"/>
          <w:sz w:val="24"/>
          <w:szCs w:val="24"/>
        </w:rPr>
        <w:t>填写完以上信息，再点击“添加”即可完成触发报警的添加。</w:t>
      </w:r>
    </w:p>
    <w:p>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“节点编号”注释：红色标记的是设备的ID，黄色标记的是“节点编号”</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974340" cy="1186180"/>
            <wp:effectExtent l="0" t="0" r="16510" b="13970"/>
            <wp:docPr id="25"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11"/>
                    <pic:cNvPicPr>
                      <a:picLocks noChangeAspect="1"/>
                    </pic:cNvPicPr>
                  </pic:nvPicPr>
                  <pic:blipFill>
                    <a:blip r:embed="rId27"/>
                    <a:stretch>
                      <a:fillRect/>
                    </a:stretch>
                  </pic:blipFill>
                  <pic:spPr>
                    <a:xfrm>
                      <a:off x="0" y="0"/>
                      <a:ext cx="2974340" cy="11861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“触发器管理-&gt;触发历史”可以查看已添加触发器报警的记录。</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“设置-&gt;个人设置”可以修改用户密码</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“设置-&gt;用户管理”可以进行用户密码的修改和添加新用户</w:t>
      </w:r>
    </w:p>
    <w:p>
      <w:pPr>
        <w:pStyle w:val="6"/>
        <w:keepNext w:val="0"/>
        <w:keepLines w:val="0"/>
        <w:pageBreakBefore w:val="0"/>
        <w:widowControl w:val="0"/>
        <w:kinsoku/>
        <w:wordWrap/>
        <w:overflowPunct/>
        <w:topLinePunct w:val="0"/>
        <w:autoSpaceDE/>
        <w:autoSpaceDN/>
        <w:bidi w:val="0"/>
        <w:adjustRightInd w:val="0"/>
        <w:snapToGrid w:val="0"/>
        <w:spacing w:before="180" w:beforeLines="50" w:after="180" w:afterLines="50" w:line="24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“设置-&gt;中性管理”可以更换系统名称、公司名称和logo。                                                                                                                                            </w:t>
      </w:r>
    </w:p>
    <w:p>
      <w:pPr>
        <w:numPr>
          <w:numId w:val="0"/>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第五章 产品维护</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5.1 例行维护</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查看各台分析仪器及辅助设备的运行状态和主要技术参数，判断运行是否正常；检查仪器供电、过程温度、搅拌电机、传感器、电极以及工作时序等是否正常，检查有无漏液、管路里是否有气泡等；定期清洗电极</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依据仪器运行情况、断面水质状况和水站环境条件制定易耗品和消耗品(如泵管、接头、密封件等)的更换周期，并保证在耗材使用到期前完成更换；如果需要更换零配件(如电极等)，应备有库存保证及时更换；</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检查试剂状况，定期添加、更换试剂。所用纯水和试剂须达到相关技术要求，更换周期不得超过操作规程或仪器说明规定的试剂保质期，室内温度较高时应缩短更换周期。每次更换主要试剂后应按相应操作规程或仪器说明重新校准仪器。试剂配制工作应由有资质的实验室完成，提供试剂来源证明，并张贴标签；</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及时整理站房及仪器，完成废液收集并按相关规定要求做好处理处置工作，且留档备查；保持水站站房及各仪器干净整洁，及时关闭门窗，避免日光直射各类分析仪器；检查采水系统、配水系统是否正常，如采水浮筒固定情况，自吸泵运行情况等；定期清洗采配水系统，包括采水头、吊桶、泵体、沉砂池、过滤头、样水杯、阀门、相关管路等，对于无法清洗干净的应及时更换；</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检查水站电路系统是否正常，接地线路是否可靠，检查采样和排液管路是否有漏液或堵塞现象，排水排气装置工作是否正常；</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检查站房空调及保温措施，保持温度稳定；检查水泵及空压机固定情况，避免仪器振动；检查空压机、不间断电源(UPS)、除藻装置、纯水机等辅助设施运行状态，及时更换耗材，并排空空压机积水</w:t>
      </w:r>
      <w:bookmarkStart w:id="1" w:name="OLE_LINK2"/>
      <w:r>
        <w:rPr>
          <w:rFonts w:ascii="宋体" w:hAnsi="宋体" w:eastAsia="宋体" w:cs="宋体"/>
          <w:sz w:val="24"/>
          <w:szCs w:val="24"/>
        </w:rPr>
        <w:t>；</w:t>
      </w:r>
      <w:bookmarkStart w:id="2" w:name="OLE_LINK3"/>
    </w:p>
    <w:bookmarkEnd w:id="1"/>
    <w:bookmarkEnd w:id="2"/>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站房周围的杂草和积水应及时清除，检查防雷设施是否可靠，站房是否有漏雨现象，站房外围的其他设施是否有损坏或被水淹，如遇到以上问题及时处理，保证系统安全运行。在封冻期来临前做好采水管路和站房保温等维护工作；</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做好日常例行维护工作记录，重要的工作内容拍照存档。</w:t>
      </w:r>
      <w:bookmarkStart w:id="3" w:name="OLE_LINK4"/>
      <w:bookmarkEnd w:id="3"/>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eastAsia" w:ascii="黑体" w:hAnsi="黑体" w:eastAsia="黑体" w:cs="黑体"/>
          <w:b/>
          <w:bCs/>
          <w:sz w:val="30"/>
          <w:szCs w:val="30"/>
          <w:lang w:val="en-US" w:eastAsia="zh-CN"/>
        </w:rPr>
        <w:t>5</w:t>
      </w:r>
      <w:r>
        <w:rPr>
          <w:rFonts w:hint="default" w:ascii="黑体" w:hAnsi="黑体" w:eastAsia="黑体" w:cs="黑体"/>
          <w:b/>
          <w:bCs/>
          <w:sz w:val="30"/>
          <w:szCs w:val="30"/>
          <w:lang w:eastAsia="zh-CN"/>
        </w:rPr>
        <w:t>.2 保养检修</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水站的监测仪器设备每年至少进行1次保养检修</w:t>
      </w:r>
      <w:bookmarkStart w:id="4" w:name="OLE_LINK5"/>
      <w:r>
        <w:rPr>
          <w:rFonts w:ascii="宋体" w:hAnsi="宋体" w:eastAsia="宋体" w:cs="宋体"/>
          <w:sz w:val="24"/>
          <w:szCs w:val="24"/>
        </w:rPr>
        <w:t>；</w:t>
      </w:r>
      <w:bookmarkEnd w:id="4"/>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按厂家提供的使用和维修手册规定的要求，根据使用寿命，更换监测仪器中的灯源、电极、蠕动泵、传感器等关键零部件；</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对仪器进行液路检漏和压力检查；对光路、液路、电路板和各种接头及插座等进行检查和清洁处理；</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对仪器的输出零点和满量程进行检查和校准，并检查仪器的输出线性；</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在每次全面保养检修完成后，或更换了仪器中的光源、电极、蠕动泵、传感器等关键零部件后，必须对仪器重新进行校准和检查，并记录检修校准情况。</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eastAsia="zh-CN"/>
        </w:rPr>
      </w:pPr>
      <w:r>
        <w:rPr>
          <w:rFonts w:hint="eastAsia" w:ascii="黑体" w:hAnsi="黑体" w:eastAsia="黑体" w:cs="黑体"/>
          <w:b/>
          <w:bCs/>
          <w:sz w:val="30"/>
          <w:szCs w:val="30"/>
          <w:lang w:val="en-US" w:eastAsia="zh-CN"/>
        </w:rPr>
        <w:t>5</w:t>
      </w:r>
      <w:bookmarkStart w:id="7" w:name="_GoBack"/>
      <w:bookmarkEnd w:id="7"/>
      <w:r>
        <w:rPr>
          <w:rFonts w:hint="default" w:ascii="黑体" w:hAnsi="黑体" w:eastAsia="黑体" w:cs="黑体"/>
          <w:b/>
          <w:bCs/>
          <w:sz w:val="30"/>
          <w:szCs w:val="30"/>
          <w:lang w:eastAsia="zh-CN"/>
        </w:rPr>
        <w:t>.3 故障检修</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根据所使用的仪器特点和厂商提供的维修手册，制定常见故障的判断和检修的作业指导书；对于在现场能够诊断明确，且可通过更换备件解决的问题(例如电磁阀控制失灵、泵管破裂、液路堵塞和灯源老化等问题)，则在现场进行检修；</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对于其他不易诊断和检修的故障，应采用备用仪器替代发生故障的仪器，将发生故障的仪器或配件送实验室或仪器厂商进行检查和维修；</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在每次故障检修完成后，根据检修内容和更换部件情况，对仪器进行校准。对于普通易损件的维修(如更换泵管、散热风扇、液路接头或接插件等)至少做标液校准；对于关键部件的维修(如对运动的机械部件、光学部件、检测部件和信号处理部件的维修)，按仪器标准规范要求进行标准曲线和精密度检查。所有检修内容均按要求做好记录备查。</w:t>
      </w:r>
      <w:bookmarkStart w:id="5" w:name="OLE_LINK6"/>
      <w:bookmarkEnd w:id="5"/>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sz w:val="24"/>
          <w:szCs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56CF3"/>
    <w:multiLevelType w:val="multilevel"/>
    <w:tmpl w:val="87A56CF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90A366EA"/>
    <w:multiLevelType w:val="singleLevel"/>
    <w:tmpl w:val="90A366EA"/>
    <w:lvl w:ilvl="0" w:tentative="0">
      <w:start w:val="1"/>
      <w:numFmt w:val="bullet"/>
      <w:lvlText w:val=""/>
      <w:lvlJc w:val="left"/>
      <w:pPr>
        <w:ind w:left="1050" w:hanging="420"/>
      </w:pPr>
      <w:rPr>
        <w:rFonts w:hint="default" w:ascii="Wingdings" w:hAnsi="Wingdings"/>
      </w:rPr>
    </w:lvl>
  </w:abstractNum>
  <w:abstractNum w:abstractNumId="2">
    <w:nsid w:val="AD5F9AA4"/>
    <w:multiLevelType w:val="singleLevel"/>
    <w:tmpl w:val="AD5F9AA4"/>
    <w:lvl w:ilvl="0" w:tentative="0">
      <w:start w:val="1"/>
      <w:numFmt w:val="decimal"/>
      <w:lvlText w:val="(%1)"/>
      <w:lvlJc w:val="left"/>
      <w:pPr>
        <w:ind w:left="1055" w:hanging="425"/>
      </w:pPr>
      <w:rPr>
        <w:rFonts w:hint="default"/>
      </w:rPr>
    </w:lvl>
  </w:abstractNum>
  <w:abstractNum w:abstractNumId="3">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BB852BC2"/>
    <w:multiLevelType w:val="singleLevel"/>
    <w:tmpl w:val="BB852BC2"/>
    <w:lvl w:ilvl="0" w:tentative="0">
      <w:start w:val="1"/>
      <w:numFmt w:val="bullet"/>
      <w:lvlText w:val=""/>
      <w:lvlJc w:val="left"/>
      <w:pPr>
        <w:ind w:left="1050" w:hanging="420"/>
      </w:pPr>
      <w:rPr>
        <w:rFonts w:hint="default" w:ascii="Wingdings" w:hAnsi="Wingdings"/>
      </w:rPr>
    </w:lvl>
  </w:abstractNum>
  <w:abstractNum w:abstractNumId="5">
    <w:nsid w:val="CBB72DC0"/>
    <w:multiLevelType w:val="singleLevel"/>
    <w:tmpl w:val="CBB72DC0"/>
    <w:lvl w:ilvl="0" w:tentative="0">
      <w:start w:val="1"/>
      <w:numFmt w:val="bullet"/>
      <w:lvlText w:val=""/>
      <w:lvlJc w:val="left"/>
      <w:pPr>
        <w:ind w:left="1680" w:hanging="420"/>
      </w:pPr>
      <w:rPr>
        <w:rFonts w:hint="default" w:ascii="Wingdings" w:hAnsi="Wingdings"/>
      </w:rPr>
    </w:lvl>
  </w:abstractNum>
  <w:abstractNum w:abstractNumId="6">
    <w:nsid w:val="D2897752"/>
    <w:multiLevelType w:val="singleLevel"/>
    <w:tmpl w:val="D2897752"/>
    <w:lvl w:ilvl="0" w:tentative="0">
      <w:start w:val="1"/>
      <w:numFmt w:val="decimal"/>
      <w:suff w:val="nothing"/>
      <w:lvlText w:val="（%1）"/>
      <w:lvlJc w:val="left"/>
      <w:pPr>
        <w:ind w:left="210"/>
      </w:pPr>
    </w:lvl>
  </w:abstractNum>
  <w:abstractNum w:abstractNumId="7">
    <w:nsid w:val="D7626811"/>
    <w:multiLevelType w:val="singleLevel"/>
    <w:tmpl w:val="D7626811"/>
    <w:lvl w:ilvl="0" w:tentative="0">
      <w:start w:val="1"/>
      <w:numFmt w:val="decimal"/>
      <w:suff w:val="nothing"/>
      <w:lvlText w:val="（%1）"/>
      <w:lvlJc w:val="left"/>
      <w:pPr>
        <w:ind w:left="210"/>
      </w:pPr>
    </w:lvl>
  </w:abstractNum>
  <w:abstractNum w:abstractNumId="8">
    <w:nsid w:val="35B6FDDA"/>
    <w:multiLevelType w:val="singleLevel"/>
    <w:tmpl w:val="35B6FDDA"/>
    <w:lvl w:ilvl="0" w:tentative="0">
      <w:start w:val="1"/>
      <w:numFmt w:val="decimal"/>
      <w:lvlText w:val="(%1)"/>
      <w:lvlJc w:val="left"/>
      <w:pPr>
        <w:ind w:left="845" w:hanging="425"/>
      </w:pPr>
      <w:rPr>
        <w:rFonts w:hint="default"/>
      </w:rPr>
    </w:lvl>
  </w:abstractNum>
  <w:abstractNum w:abstractNumId="9">
    <w:nsid w:val="3C8C4C0C"/>
    <w:multiLevelType w:val="singleLevel"/>
    <w:tmpl w:val="3C8C4C0C"/>
    <w:lvl w:ilvl="0" w:tentative="0">
      <w:start w:val="1"/>
      <w:numFmt w:val="bullet"/>
      <w:lvlText w:val=""/>
      <w:lvlJc w:val="left"/>
      <w:pPr>
        <w:ind w:left="1050" w:hanging="420"/>
      </w:pPr>
      <w:rPr>
        <w:rFonts w:hint="default" w:ascii="Wingdings" w:hAnsi="Wingdings"/>
      </w:rPr>
    </w:lvl>
  </w:abstractNum>
  <w:abstractNum w:abstractNumId="10">
    <w:nsid w:val="641AC54C"/>
    <w:multiLevelType w:val="singleLevel"/>
    <w:tmpl w:val="641AC54C"/>
    <w:lvl w:ilvl="0" w:tentative="0">
      <w:start w:val="1"/>
      <w:numFmt w:val="chineseCounting"/>
      <w:suff w:val="space"/>
      <w:lvlText w:val="第%1章"/>
      <w:lvlJc w:val="left"/>
      <w:rPr>
        <w:rFonts w:hint="eastAsia"/>
      </w:rPr>
    </w:lvl>
  </w:abstractNum>
  <w:num w:numId="1">
    <w:abstractNumId w:val="3"/>
  </w:num>
  <w:num w:numId="2">
    <w:abstractNumId w:val="10"/>
  </w:num>
  <w:num w:numId="3">
    <w:abstractNumId w:val="0"/>
  </w:num>
  <w:num w:numId="4">
    <w:abstractNumId w:val="1"/>
  </w:num>
  <w:num w:numId="5">
    <w:abstractNumId w:val="4"/>
  </w:num>
  <w:num w:numId="6">
    <w:abstractNumId w:val="9"/>
  </w:num>
  <w:num w:numId="7">
    <w:abstractNumId w:val="5"/>
  </w:num>
  <w:num w:numId="8">
    <w:abstractNumId w:val="2"/>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8395c526-28ce-4ec9-a06c-10b77d941399"/>
  </w:docVars>
  <w:rsids>
    <w:rsidRoot w:val="09737C7A"/>
    <w:rsid w:val="00704336"/>
    <w:rsid w:val="00825154"/>
    <w:rsid w:val="013D1CC5"/>
    <w:rsid w:val="058F1702"/>
    <w:rsid w:val="0A960E3D"/>
    <w:rsid w:val="0DA03BB0"/>
    <w:rsid w:val="106B5F55"/>
    <w:rsid w:val="14D7185D"/>
    <w:rsid w:val="1BCF374C"/>
    <w:rsid w:val="22473F56"/>
    <w:rsid w:val="2987431B"/>
    <w:rsid w:val="2CDE06F5"/>
    <w:rsid w:val="2E936831"/>
    <w:rsid w:val="2F664783"/>
    <w:rsid w:val="3264169D"/>
    <w:rsid w:val="33003439"/>
    <w:rsid w:val="33CB5565"/>
    <w:rsid w:val="36CC68EF"/>
    <w:rsid w:val="398C14D9"/>
    <w:rsid w:val="3AA447BE"/>
    <w:rsid w:val="3ADB14EF"/>
    <w:rsid w:val="3DA92601"/>
    <w:rsid w:val="3DB57251"/>
    <w:rsid w:val="40664B58"/>
    <w:rsid w:val="40D405E8"/>
    <w:rsid w:val="418E6315"/>
    <w:rsid w:val="45A73923"/>
    <w:rsid w:val="4B7F62CD"/>
    <w:rsid w:val="4F963FCB"/>
    <w:rsid w:val="50914F86"/>
    <w:rsid w:val="509A4A54"/>
    <w:rsid w:val="55C3012C"/>
    <w:rsid w:val="575E7C19"/>
    <w:rsid w:val="577F48DD"/>
    <w:rsid w:val="5B705E4B"/>
    <w:rsid w:val="5CA469DE"/>
    <w:rsid w:val="5F521FB0"/>
    <w:rsid w:val="631B5F6A"/>
    <w:rsid w:val="65717652"/>
    <w:rsid w:val="69531548"/>
    <w:rsid w:val="6A617C95"/>
    <w:rsid w:val="6D1A36A8"/>
    <w:rsid w:val="6DE35DF5"/>
    <w:rsid w:val="6EBF6980"/>
    <w:rsid w:val="6F5F7B1D"/>
    <w:rsid w:val="6F9E54E7"/>
    <w:rsid w:val="70A94B48"/>
    <w:rsid w:val="760C443D"/>
    <w:rsid w:val="783C022D"/>
    <w:rsid w:val="7B273222"/>
    <w:rsid w:val="7EE12CFA"/>
    <w:rsid w:val="7F751340"/>
    <w:rsid w:val="7FCC0B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First Indent"/>
    <w:basedOn w:val="1"/>
    <w:qFormat/>
    <w:uiPriority w:val="0"/>
    <w:pPr>
      <w:ind w:firstLine="498"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0" Type="http://schemas.openxmlformats.org/officeDocument/2006/relationships/fontTable" Target="fontTable.xml"/><Relationship Id="rId3" Type="http://schemas.openxmlformats.org/officeDocument/2006/relationships/theme" Target="theme/theme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2875</Words>
  <Characters>2951</Characters>
  <Lines>0</Lines>
  <Paragraphs>0</Paragraphs>
  <TotalTime>0</TotalTime>
  <ScaleCrop>false</ScaleCrop>
  <LinksUpToDate>false</LinksUpToDate>
  <CharactersWithSpaces>2964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2024-09-06T06:48:00Z</dcterms:created>
  <dc:creator>fewevd</dc:creator>
  <cp:lastModifiedBy>fewevd</cp:lastModifiedBy>
  <dcterms:modified xsi:type="dcterms:W3CDTF">2024-11-01T01:38:42Z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8D5866E2C0C345CE999295E32FE26D8A_11</vt:lpwstr>
  </property>
</Properties>
</file>