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4D4B73"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  <w:r>
        <w:rPr>
          <w:rFonts w:ascii="黑体" w:hAnsi="黑体" w:eastAsia="黑体" w:cs="黑体"/>
          <w:b/>
          <w:bCs/>
          <w:sz w:val="72"/>
          <w:szCs w:val="7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-95250</wp:posOffset>
            </wp:positionH>
            <wp:positionV relativeFrom="page">
              <wp:posOffset>-15240</wp:posOffset>
            </wp:positionV>
            <wp:extent cx="7658735" cy="10591800"/>
            <wp:effectExtent l="19050" t="0" r="0" b="0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8735" cy="1059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FBE508F"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b/>
          <w:bCs/>
          <w:sz w:val="72"/>
          <w:szCs w:val="72"/>
          <w:lang w:val="en-US" w:eastAsia="zh-CN"/>
        </w:rPr>
        <w:t>紫外吸收法臭氧传感器</w:t>
      </w:r>
      <w:r>
        <w:rPr>
          <w:rFonts w:hint="eastAsia" w:ascii="黑体" w:hAnsi="黑体" w:eastAsia="黑体" w:cs="黑体"/>
          <w:b/>
          <w:sz w:val="72"/>
          <w:szCs w:val="72"/>
        </w:rPr>
        <w:t>使用说明</w:t>
      </w:r>
    </w:p>
    <w:p w14:paraId="176F4D1E">
      <w:pPr>
        <w:pStyle w:val="6"/>
        <w:ind w:firstLine="0" w:firstLineChars="0"/>
        <w:jc w:val="center"/>
        <w:rPr>
          <w:rFonts w:hint="default" w:ascii="黑体" w:hAnsi="黑体" w:eastAsia="黑体" w:cs="黑体"/>
          <w:b/>
          <w:sz w:val="72"/>
          <w:szCs w:val="72"/>
          <w:vertAlign w:val="baseline"/>
          <w:lang w:val="en-US" w:eastAsia="zh-CN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</w:t>
      </w:r>
      <w:r>
        <w:rPr>
          <w:rFonts w:hint="eastAsia" w:ascii="黑体" w:hAnsi="黑体" w:eastAsia="黑体" w:cs="黑体"/>
          <w:b/>
          <w:sz w:val="72"/>
          <w:szCs w:val="72"/>
        </w:rPr>
        <w:t>JX-</w:t>
      </w:r>
      <w:r>
        <w:rPr>
          <w:rFonts w:hint="eastAsia" w:ascii="黑体" w:hAnsi="黑体" w:eastAsia="黑体" w:cs="黑体"/>
          <w:b/>
          <w:sz w:val="72"/>
          <w:szCs w:val="72"/>
          <w:lang w:val="en-US" w:eastAsia="zh-CN"/>
        </w:rPr>
        <w:t>O</w:t>
      </w:r>
      <w:r>
        <w:rPr>
          <w:rFonts w:hint="eastAsia" w:ascii="黑体" w:hAnsi="黑体" w:eastAsia="黑体" w:cs="黑体"/>
          <w:b/>
          <w:sz w:val="72"/>
          <w:szCs w:val="72"/>
          <w:vertAlign w:val="subscript"/>
          <w:lang w:val="en-US" w:eastAsia="zh-CN"/>
        </w:rPr>
        <w:t>3</w:t>
      </w:r>
      <w:r>
        <w:rPr>
          <w:rFonts w:hint="eastAsia" w:ascii="黑体" w:hAnsi="黑体" w:eastAsia="黑体" w:cs="黑体"/>
          <w:b/>
          <w:sz w:val="72"/>
          <w:szCs w:val="72"/>
          <w:vertAlign w:val="baseline"/>
          <w:lang w:val="en-US" w:eastAsia="zh-CN"/>
        </w:rPr>
        <w:t>-103</w:t>
      </w:r>
    </w:p>
    <w:p w14:paraId="06A4F513"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   V2.0</w:t>
      </w:r>
    </w:p>
    <w:p w14:paraId="34898CBF">
      <w:pPr>
        <w:widowControl/>
        <w:jc w:val="left"/>
        <w:rPr>
          <w:rFonts w:ascii="黑体" w:hAnsi="黑体" w:eastAsia="黑体" w:cs="黑体"/>
          <w:sz w:val="36"/>
          <w:szCs w:val="36"/>
        </w:rPr>
      </w:pPr>
      <w:r>
        <w:rPr>
          <w:rFonts w:ascii="黑体" w:hAnsi="黑体" w:eastAsia="黑体" w:cs="黑体"/>
          <w:sz w:val="32"/>
          <w:szCs w:val="32"/>
        </w:rPr>
        <w:br w:type="page"/>
      </w:r>
      <w:r>
        <w:rPr>
          <w:rFonts w:hint="eastAsia" w:ascii="黑体" w:hAnsi="黑体" w:eastAsia="黑体" w:cs="黑体"/>
          <w:sz w:val="36"/>
          <w:szCs w:val="36"/>
        </w:rPr>
        <w:t>第1章 产品简介</w:t>
      </w:r>
    </w:p>
    <w:p w14:paraId="1C6BC489"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产品概述</w:t>
      </w:r>
    </w:p>
    <w:p w14:paraId="264577F8">
      <w:pPr>
        <w:ind w:firstLine="480" w:firstLineChars="200"/>
      </w:pPr>
      <w:r>
        <w:rPr>
          <w:rFonts w:hint="eastAsia"/>
          <w:lang w:val="en-US" w:eastAsia="zh-CN"/>
        </w:rPr>
        <w:t>紫外法臭氧传感器拥有寿命长、精度高、无氧气依赖等特点，已被美国等国家作为臭氧分析的标准方法，但是紫外吸收法的臭氧检测仪价格昂贵，因此我司针对市场，造福用户，降级研发出了一款紫外法的臭氧传感器，该紫外法臭氧传感器价格低，应用领域广，可在医院，药厂、工厂等多种场合应用</w:t>
      </w:r>
      <w:r>
        <w:rPr>
          <w:rFonts w:hint="eastAsia"/>
        </w:rPr>
        <w:t>。</w:t>
      </w:r>
    </w:p>
    <w:p w14:paraId="4B3FBE40"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产品特点</w:t>
      </w:r>
    </w:p>
    <w:p w14:paraId="768301BA">
      <w:pPr>
        <w:numPr>
          <w:ilvl w:val="0"/>
          <w:numId w:val="2"/>
        </w:numPr>
      </w:pPr>
      <w:r>
        <w:rPr>
          <w:rFonts w:hint="eastAsia"/>
          <w:lang w:val="en-US" w:eastAsia="zh-CN"/>
        </w:rPr>
        <w:t>性能稳定，持续监测：低功耗、高灵敏、稳定性、抗干扰、准确性</w:t>
      </w:r>
    </w:p>
    <w:p w14:paraId="1C043F02">
      <w:pPr>
        <w:numPr>
          <w:ilvl w:val="0"/>
          <w:numId w:val="2"/>
        </w:numPr>
      </w:pPr>
      <w:r>
        <w:rPr>
          <w:rFonts w:hint="eastAsia"/>
          <w:lang w:val="en-US" w:eastAsia="zh-CN"/>
        </w:rPr>
        <w:t>无氧气依赖性</w:t>
      </w:r>
    </w:p>
    <w:p w14:paraId="505CBD7F">
      <w:pPr>
        <w:numPr>
          <w:ilvl w:val="0"/>
          <w:numId w:val="2"/>
        </w:numPr>
      </w:pPr>
      <w:r>
        <w:rPr>
          <w:rFonts w:hint="eastAsia"/>
          <w:lang w:val="en-US" w:eastAsia="zh-CN"/>
        </w:rPr>
        <w:t>无惧恶劣环境：即使在恶劣的温度和环境条件下，也能获得稳定可靠的测量结果。</w:t>
      </w:r>
    </w:p>
    <w:p w14:paraId="489675E4">
      <w:pPr>
        <w:numPr>
          <w:ilvl w:val="0"/>
          <w:numId w:val="2"/>
        </w:numPr>
      </w:pPr>
      <w:r>
        <w:rPr>
          <w:rFonts w:hint="eastAsia"/>
          <w:lang w:val="en-US" w:eastAsia="zh-CN"/>
        </w:rPr>
        <w:t>不锈钢抛光工艺：产品采用不锈钢抛光工艺制作，性能稳定，可针对多种环境进行使用</w:t>
      </w:r>
    </w:p>
    <w:p w14:paraId="5708478E">
      <w:pPr>
        <w:numPr>
          <w:ilvl w:val="0"/>
          <w:numId w:val="2"/>
        </w:numPr>
      </w:pPr>
      <w:r>
        <w:rPr>
          <w:rFonts w:hint="eastAsia"/>
          <w:lang w:val="en-US" w:eastAsia="zh-CN"/>
        </w:rPr>
        <w:t>使用范围广泛：本产品可广泛应用于臭氧消毒设备、空气检测和化工气体生产过程监控，可安装于养殖厂房、通风系统、冷藏存储等应用场合。</w:t>
      </w:r>
    </w:p>
    <w:p w14:paraId="50D44D2E"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产品参数</w:t>
      </w:r>
    </w:p>
    <w:tbl>
      <w:tblPr>
        <w:tblStyle w:val="7"/>
        <w:tblW w:w="6632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7"/>
        <w:gridCol w:w="4555"/>
      </w:tblGrid>
      <w:tr w14:paraId="3AD31F62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bottom w:val="single" w:color="000000" w:sz="8" w:space="0"/>
            </w:tcBorders>
            <w:shd w:val="clear" w:color="auto" w:fill="FFFFFF"/>
          </w:tcPr>
          <w:p w14:paraId="54423F1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参数</w:t>
            </w:r>
          </w:p>
        </w:tc>
        <w:tc>
          <w:tcPr>
            <w:tcW w:w="4555" w:type="dxa"/>
            <w:tcBorders>
              <w:bottom w:val="single" w:color="000000" w:sz="8" w:space="0"/>
            </w:tcBorders>
            <w:shd w:val="clear" w:color="auto" w:fill="FFFFFF"/>
          </w:tcPr>
          <w:p w14:paraId="5EEC602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技术指标</w:t>
            </w:r>
          </w:p>
        </w:tc>
      </w:tr>
      <w:tr w14:paraId="25D27063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2077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 w14:paraId="0C9DF1C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检测气体</w:t>
            </w:r>
          </w:p>
        </w:tc>
        <w:tc>
          <w:tcPr>
            <w:tcW w:w="455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 w14:paraId="238F689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eastAsia="宋体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臭氧（O3）</w:t>
            </w:r>
          </w:p>
        </w:tc>
      </w:tr>
      <w:tr w14:paraId="4F62681B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FFFFFF"/>
          </w:tcPr>
          <w:p w14:paraId="4C4AFBD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测量范围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FFFFFF"/>
          </w:tcPr>
          <w:p w14:paraId="2A76A46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Cs w:val="22"/>
                <w:lang w:val="en-US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-</w:t>
            </w:r>
            <w:r>
              <w:rPr>
                <w:rFonts w:hint="eastAsia" w:ascii="Times New Roman" w:hAnsi="Times New Roman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200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ppm</w:t>
            </w:r>
            <w:r>
              <w:rPr>
                <w:rFonts w:hint="eastAsia" w:ascii="Times New Roman" w:hAnsi="Times New Roman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（默认）/0-1000ppm</w:t>
            </w:r>
          </w:p>
        </w:tc>
      </w:tr>
      <w:tr w14:paraId="454509FA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pct25" w:color="auto" w:fill="FFFFFF"/>
          </w:tcPr>
          <w:p w14:paraId="756815D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分辨率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pct25" w:color="auto" w:fill="FFFFFF"/>
          </w:tcPr>
          <w:p w14:paraId="3E29BCA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  <w:lang w:val="en-US" w:eastAsia="zh-CN"/>
              </w:rPr>
              <w:t>1</w:t>
            </w:r>
            <w:r>
              <w:rPr>
                <w:rFonts w:hint="eastAsia"/>
                <w:color w:val="000000"/>
                <w:szCs w:val="22"/>
              </w:rPr>
              <w:t>ppm</w:t>
            </w:r>
          </w:p>
        </w:tc>
      </w:tr>
      <w:tr w14:paraId="3CBEBB32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pct25" w:color="auto" w:fill="auto"/>
          </w:tcPr>
          <w:p w14:paraId="6D67CAB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eastAsia="宋体"/>
                <w:b/>
                <w:szCs w:val="22"/>
                <w:lang w:val="en-US" w:eastAsia="zh-CN"/>
              </w:rPr>
            </w:pPr>
            <w:r>
              <w:rPr>
                <w:rFonts w:hint="eastAsia"/>
                <w:b/>
                <w:szCs w:val="22"/>
                <w:lang w:val="en-US" w:eastAsia="zh-CN"/>
              </w:rPr>
              <w:t>测量精度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pct25" w:color="auto" w:fill="auto"/>
          </w:tcPr>
          <w:p w14:paraId="7F819CA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  <w:szCs w:val="22"/>
                <w:lang w:val="en-US" w:eastAsia="zh-CN"/>
              </w:rPr>
            </w:pPr>
            <w:r>
              <w:rPr>
                <w:rFonts w:hint="eastAsia"/>
                <w:color w:val="000000"/>
                <w:szCs w:val="22"/>
                <w:lang w:val="en-US" w:eastAsia="zh-CN"/>
              </w:rPr>
              <w:t>0.1ppm（默认）/0.5ppm</w:t>
            </w:r>
          </w:p>
        </w:tc>
      </w:tr>
      <w:tr w14:paraId="1AA3E28B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 w14:paraId="3F981A6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响应时间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 w14:paraId="60DE2A5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eastAsia="宋体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＜30s（25℃）</w:t>
            </w:r>
          </w:p>
        </w:tc>
      </w:tr>
      <w:tr w14:paraId="156A6F8B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 w14:paraId="13CD6D9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eastAsia="宋体"/>
                <w:b/>
                <w:szCs w:val="22"/>
                <w:lang w:val="en-US" w:eastAsia="zh-CN"/>
              </w:rPr>
            </w:pPr>
            <w:r>
              <w:rPr>
                <w:rFonts w:hint="eastAsia"/>
                <w:b/>
                <w:szCs w:val="22"/>
                <w:lang w:val="en-US" w:eastAsia="zh-CN"/>
              </w:rPr>
              <w:t>预热时间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 w14:paraId="64093DB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＜5min（25℃）</w:t>
            </w:r>
          </w:p>
        </w:tc>
      </w:tr>
      <w:tr w14:paraId="4799A310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 w14:paraId="64E2E10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b/>
                <w:szCs w:val="22"/>
                <w:lang w:val="en-US" w:eastAsia="zh-CN"/>
              </w:rPr>
            </w:pPr>
            <w:r>
              <w:rPr>
                <w:rFonts w:hint="eastAsia"/>
                <w:b/>
                <w:szCs w:val="22"/>
                <w:lang w:val="en-US" w:eastAsia="zh-CN"/>
              </w:rPr>
              <w:t>达到精度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 w14:paraId="2EB9B63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＜10min（25℃）</w:t>
            </w:r>
          </w:p>
        </w:tc>
      </w:tr>
      <w:tr w14:paraId="7BD336AF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 w14:paraId="52454C6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b/>
                <w:szCs w:val="22"/>
                <w:lang w:val="en-US" w:eastAsia="zh-CN"/>
              </w:rPr>
            </w:pPr>
            <w:r>
              <w:rPr>
                <w:rFonts w:hint="eastAsia"/>
                <w:b/>
                <w:szCs w:val="22"/>
                <w:lang w:val="en-US" w:eastAsia="zh-CN"/>
              </w:rPr>
              <w:t>工作电压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 w14:paraId="1A1B556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9-24v</w:t>
            </w:r>
          </w:p>
        </w:tc>
      </w:tr>
      <w:tr w14:paraId="317B14BC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 w14:paraId="43A64A0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b/>
                <w:szCs w:val="22"/>
                <w:lang w:val="en-US" w:eastAsia="zh-CN"/>
              </w:rPr>
            </w:pPr>
            <w:r>
              <w:rPr>
                <w:rFonts w:hint="eastAsia"/>
                <w:b/>
                <w:szCs w:val="22"/>
                <w:lang w:val="en-US" w:eastAsia="zh-CN"/>
              </w:rPr>
              <w:t>平均耗电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 w14:paraId="4FA5B61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＜50mA</w:t>
            </w:r>
          </w:p>
        </w:tc>
      </w:tr>
      <w:tr w14:paraId="0998EEE2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 w14:paraId="1646B88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检测原理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 w14:paraId="60524CA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eastAsia="宋体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紫外</w:t>
            </w:r>
          </w:p>
        </w:tc>
      </w:tr>
      <w:tr w14:paraId="30BB4A77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 w14:paraId="03F20DA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波特率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 w14:paraId="5754590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2400/4800/9600</w:t>
            </w:r>
          </w:p>
        </w:tc>
      </w:tr>
      <w:tr w14:paraId="40E63540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 w14:paraId="471F655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通讯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 w14:paraId="4D24912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TTL/Modbus RTU</w:t>
            </w:r>
          </w:p>
        </w:tc>
      </w:tr>
      <w:tr w14:paraId="78974598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 w14:paraId="575915A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工作湿度环境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 w14:paraId="40DCFA1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  <w:lang w:val="en-US" w:eastAsia="zh-CN"/>
              </w:rPr>
              <w:t>0-95</w:t>
            </w:r>
            <w:r>
              <w:rPr>
                <w:szCs w:val="22"/>
              </w:rPr>
              <w:t>%RH</w:t>
            </w:r>
            <w:r>
              <w:rPr>
                <w:color w:val="000000"/>
                <w:kern w:val="0"/>
                <w:szCs w:val="21"/>
              </w:rPr>
              <w:t>(</w:t>
            </w:r>
            <w:r>
              <w:rPr>
                <w:szCs w:val="22"/>
              </w:rPr>
              <w:t>无凝结)</w:t>
            </w:r>
          </w:p>
        </w:tc>
      </w:tr>
      <w:tr w14:paraId="39E96378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 w14:paraId="62820D5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b/>
                <w:szCs w:val="22"/>
                <w:lang w:val="en-US" w:eastAsia="zh-CN"/>
              </w:rPr>
            </w:pPr>
            <w:r>
              <w:rPr>
                <w:rFonts w:hint="eastAsia"/>
                <w:b/>
                <w:szCs w:val="22"/>
                <w:lang w:val="en-US" w:eastAsia="zh-CN"/>
              </w:rPr>
              <w:t>工作温度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 w14:paraId="28BF5DA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-10-60℃</w:t>
            </w:r>
          </w:p>
        </w:tc>
      </w:tr>
      <w:tr w14:paraId="443A3252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 w14:paraId="5A68B5B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b/>
                <w:szCs w:val="22"/>
                <w:lang w:val="en-US" w:eastAsia="zh-CN"/>
              </w:rPr>
            </w:pPr>
            <w:r>
              <w:rPr>
                <w:rFonts w:hint="eastAsia"/>
                <w:b/>
                <w:szCs w:val="22"/>
                <w:lang w:val="en-US" w:eastAsia="zh-CN"/>
              </w:rPr>
              <w:t>存储温度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 w14:paraId="11BF814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-20-70℃</w:t>
            </w:r>
          </w:p>
        </w:tc>
      </w:tr>
    </w:tbl>
    <w:p w14:paraId="41283A2C">
      <w:pPr>
        <w:pStyle w:val="11"/>
        <w:widowControl/>
        <w:numPr>
          <w:ilvl w:val="0"/>
          <w:numId w:val="0"/>
        </w:numPr>
        <w:ind w:leftChars="0"/>
        <w:jc w:val="left"/>
        <w:rPr>
          <w:rFonts w:cs="黑体" w:asciiTheme="minorEastAsia" w:hAnsiTheme="minorEastAsia" w:eastAsiaTheme="minorEastAsia"/>
          <w:kern w:val="0"/>
          <w:szCs w:val="24"/>
        </w:rPr>
      </w:pPr>
    </w:p>
    <w:p w14:paraId="37742098"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产品尺寸</w:t>
      </w:r>
    </w:p>
    <w:p w14:paraId="5B180259"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下图是模组的尺寸图，根据尺寸合理进行安装使用，如图所示：</w:t>
      </w:r>
    </w:p>
    <w:p w14:paraId="501DD7F1">
      <w:pPr>
        <w:widowControl/>
        <w:ind w:firstLine="480" w:firstLineChars="200"/>
        <w:jc w:val="center"/>
        <w:rPr>
          <w:rFonts w:hint="eastAsia" w:cs="黑体" w:asciiTheme="minorEastAsia" w:hAnsiTheme="minorEastAsia" w:eastAsiaTheme="minorEastAsia"/>
          <w:kern w:val="0"/>
          <w:szCs w:val="24"/>
          <w:lang w:eastAsia="zh-CN"/>
        </w:rPr>
      </w:pPr>
      <w:r>
        <w:rPr>
          <w:rFonts w:hint="eastAsia" w:cs="黑体" w:asciiTheme="minorEastAsia" w:hAnsiTheme="minorEastAsia" w:eastAsiaTheme="minorEastAsia"/>
          <w:kern w:val="0"/>
          <w:szCs w:val="24"/>
          <w:lang w:eastAsia="zh-CN"/>
        </w:rPr>
        <w:drawing>
          <wp:inline distT="0" distB="0" distL="114300" distR="114300">
            <wp:extent cx="5271135" cy="3926205"/>
            <wp:effectExtent l="0" t="0" r="5715" b="17145"/>
            <wp:docPr id="3" name="图片 3" descr="67079385-71D1-4ce9-BAAB-EE1B47F395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67079385-71D1-4ce9-BAAB-EE1B47F395BE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926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02689D">
      <w:pPr>
        <w:pStyle w:val="11"/>
        <w:widowControl/>
        <w:numPr>
          <w:ilvl w:val="0"/>
          <w:numId w:val="3"/>
        </w:numPr>
        <w:ind w:firstLineChars="0"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通讯协议</w:t>
      </w:r>
    </w:p>
    <w:p w14:paraId="60E96D98"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我司研发的模组通讯分为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TTL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和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Modbus RTU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两种通讯方式。其中，</w:t>
      </w:r>
      <w:r>
        <w:rPr>
          <w:rFonts w:hint="eastAsia"/>
        </w:rPr>
        <w:t>模组有两种工作方式，分别为</w:t>
      </w:r>
      <w:r>
        <w:rPr>
          <w:rFonts w:hint="eastAsia"/>
          <w:b/>
        </w:rPr>
        <w:t>主动上报模式</w:t>
      </w:r>
      <w:r>
        <w:rPr>
          <w:rFonts w:hint="eastAsia"/>
        </w:rPr>
        <w:t>和</w:t>
      </w:r>
      <w:r>
        <w:rPr>
          <w:rFonts w:hint="eastAsia" w:asciiTheme="minorEastAsia" w:hAnsiTheme="minorEastAsia" w:eastAsiaTheme="minorEastAsia"/>
          <w:b/>
          <w:bCs/>
        </w:rPr>
        <w:t>问询模式</w:t>
      </w:r>
      <w:r>
        <w:rPr>
          <w:rFonts w:hint="eastAsia"/>
        </w:rPr>
        <w:t>，默认工作模式为</w:t>
      </w:r>
      <w:r>
        <w:rPr>
          <w:rFonts w:hint="eastAsia"/>
          <w:b/>
        </w:rPr>
        <w:t>主动上报模式；</w:t>
      </w:r>
      <w:r>
        <w:rPr>
          <w:rFonts w:hint="eastAsia" w:asciiTheme="minorEastAsia" w:hAnsiTheme="minorEastAsia" w:eastAsiaTheme="minorEastAsia"/>
          <w:bCs/>
        </w:rPr>
        <w:t>如需改成问询模式，需要输入如下问询指令：</w:t>
      </w:r>
    </w:p>
    <w:p w14:paraId="7116FDF5"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02 00 00 00 00 05</w:t>
      </w:r>
      <w:r>
        <w:rPr>
          <w:rFonts w:hint="eastAsia" w:asciiTheme="minorEastAsia" w:hAnsiTheme="minorEastAsia" w:eastAsiaTheme="minorEastAsia"/>
          <w:bCs/>
        </w:rPr>
        <w:t>可以切换为问询模式</w:t>
      </w:r>
      <w:r>
        <w:rPr>
          <w:rFonts w:asciiTheme="minorEastAsia" w:hAnsiTheme="minorEastAsia" w:eastAsiaTheme="minorEastAsia"/>
          <w:bCs/>
        </w:rPr>
        <w:tab/>
      </w:r>
    </w:p>
    <w:p w14:paraId="7F02433A"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01 00 00 00 00 04</w:t>
      </w:r>
      <w:r>
        <w:rPr>
          <w:rFonts w:hint="eastAsia" w:asciiTheme="minorEastAsia" w:hAnsiTheme="minorEastAsia" w:eastAsiaTheme="minorEastAsia"/>
          <w:bCs/>
        </w:rPr>
        <w:t>可以切换为主动上报模式</w:t>
      </w:r>
    </w:p>
    <w:p w14:paraId="718C6ADA"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其中通讯模式0x</w:t>
      </w:r>
      <w:r>
        <w:rPr>
          <w:rFonts w:asciiTheme="minorEastAsia" w:hAnsiTheme="minorEastAsia" w:eastAsiaTheme="minorEastAsia"/>
          <w:bCs/>
          <w:szCs w:val="24"/>
        </w:rPr>
        <w:t>01</w:t>
      </w:r>
      <w:r>
        <w:rPr>
          <w:rFonts w:hint="eastAsia" w:asciiTheme="minorEastAsia" w:hAnsiTheme="minorEastAsia" w:eastAsiaTheme="minorEastAsia"/>
          <w:bCs/>
          <w:szCs w:val="24"/>
        </w:rPr>
        <w:t>代表主动上报，0x</w:t>
      </w:r>
      <w:r>
        <w:rPr>
          <w:rFonts w:asciiTheme="minorEastAsia" w:hAnsiTheme="minorEastAsia" w:eastAsiaTheme="minorEastAsia"/>
          <w:bCs/>
          <w:szCs w:val="24"/>
        </w:rPr>
        <w:t>02</w:t>
      </w:r>
      <w:r>
        <w:rPr>
          <w:rFonts w:hint="eastAsia" w:asciiTheme="minorEastAsia" w:hAnsiTheme="minorEastAsia" w:eastAsiaTheme="minorEastAsia"/>
          <w:bCs/>
          <w:szCs w:val="24"/>
        </w:rPr>
        <w:t>代表问询式</w:t>
      </w:r>
    </w:p>
    <w:p w14:paraId="1CF006F2"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2.1 TTL通讯方式</w:t>
      </w:r>
    </w:p>
    <w:p w14:paraId="1C0F6B2E"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 w14:paraId="4138772B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 w14:paraId="2350729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 w14:paraId="45C4C1F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 w14:paraId="79C2E753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 w14:paraId="5D3F4B6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 w14:paraId="2C76268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 w14:paraId="7BDA47D6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 w14:paraId="38BD5ED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 w14:paraId="059FA19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 w14:paraId="1C159F59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 w14:paraId="22DEFA7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 w14:paraId="23CF4BF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 w14:paraId="7CBD2DDC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 w14:paraId="2F52523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 w14:paraId="7D329FC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 w14:paraId="7A3E4A7A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 w14:paraId="350BE5A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 w14:paraId="68CFE04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 w14:paraId="3AF47BC6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 w14:paraId="1969EAC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 w14:paraId="5AE813D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 w14:paraId="36D19E89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 w14:paraId="778E54B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 w14:paraId="61BCAC7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 w14:paraId="09A1EA03"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2.1.2 通讯命令</w:t>
      </w:r>
    </w:p>
    <w:p w14:paraId="5D0A617D"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（1）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主动上报模式-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9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0"/>
        <w:gridCol w:w="788"/>
        <w:gridCol w:w="892"/>
        <w:gridCol w:w="892"/>
        <w:gridCol w:w="671"/>
        <w:gridCol w:w="771"/>
        <w:gridCol w:w="771"/>
        <w:gridCol w:w="771"/>
        <w:gridCol w:w="771"/>
        <w:gridCol w:w="764"/>
      </w:tblGrid>
      <w:tr w14:paraId="28AE68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 w14:paraId="1F37EF9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</w:p>
        </w:tc>
        <w:tc>
          <w:tcPr>
            <w:tcW w:w="7091" w:type="dxa"/>
            <w:gridSpan w:val="9"/>
          </w:tcPr>
          <w:p w14:paraId="658FCF7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接受（RX）</w:t>
            </w:r>
          </w:p>
        </w:tc>
      </w:tr>
      <w:tr w14:paraId="3295DA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 w14:paraId="1E532D6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88" w:type="dxa"/>
          </w:tcPr>
          <w:p w14:paraId="61BC66B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892" w:type="dxa"/>
          </w:tcPr>
          <w:p w14:paraId="65F7EBE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92" w:type="dxa"/>
          </w:tcPr>
          <w:p w14:paraId="3C9C66E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442" w:type="dxa"/>
            <w:gridSpan w:val="2"/>
          </w:tcPr>
          <w:p w14:paraId="766A9F9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气体浓度</w:t>
            </w:r>
          </w:p>
        </w:tc>
        <w:tc>
          <w:tcPr>
            <w:tcW w:w="771" w:type="dxa"/>
          </w:tcPr>
          <w:p w14:paraId="50EF6B3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 w14:paraId="3E48561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 w14:paraId="0F4E0F9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64" w:type="dxa"/>
          </w:tcPr>
          <w:p w14:paraId="42BC78F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 w14:paraId="5D3EE1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820" w:type="dxa"/>
          </w:tcPr>
          <w:p w14:paraId="6C0AB39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88" w:type="dxa"/>
          </w:tcPr>
          <w:p w14:paraId="6A700E9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  <w:tc>
          <w:tcPr>
            <w:tcW w:w="892" w:type="dxa"/>
          </w:tcPr>
          <w:p w14:paraId="0F8C52B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0X07</w:t>
            </w:r>
          </w:p>
        </w:tc>
        <w:tc>
          <w:tcPr>
            <w:tcW w:w="892" w:type="dxa"/>
          </w:tcPr>
          <w:p w14:paraId="4F08F90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  <w:t>2</w:t>
            </w:r>
          </w:p>
        </w:tc>
        <w:tc>
          <w:tcPr>
            <w:tcW w:w="671" w:type="dxa"/>
          </w:tcPr>
          <w:p w14:paraId="79BF769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771" w:type="dxa"/>
          </w:tcPr>
          <w:p w14:paraId="71C49C7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771" w:type="dxa"/>
          </w:tcPr>
          <w:p w14:paraId="7DE6174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 w14:paraId="36ACF5C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 w14:paraId="7B80B5B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64" w:type="dxa"/>
          </w:tcPr>
          <w:p w14:paraId="2051D88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 w14:paraId="1AC1CF78">
      <w:pPr>
        <w:widowControl/>
        <w:ind w:firstLine="480" w:firstLineChars="200"/>
        <w:rPr>
          <w:rFonts w:ascii="黑体" w:hAnsi="黑体" w:eastAsia="黑体" w:cs="黑体"/>
          <w:kern w:val="0"/>
          <w:szCs w:val="24"/>
        </w:rPr>
      </w:pPr>
      <w:r>
        <w:rPr>
          <w:rFonts w:hint="eastAsia"/>
          <w:bCs/>
          <w:szCs w:val="24"/>
        </w:rPr>
        <w:t>其中分辨率代表小数点位数：如下表所示</w:t>
      </w:r>
    </w:p>
    <w:tbl>
      <w:tblPr>
        <w:tblStyle w:val="7"/>
        <w:tblW w:w="24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1362"/>
      </w:tblGrid>
      <w:tr w14:paraId="2815D3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 w14:paraId="74258AE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62" w:type="dxa"/>
          </w:tcPr>
          <w:p w14:paraId="30A8441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分辨率系数</w:t>
            </w:r>
          </w:p>
        </w:tc>
      </w:tr>
      <w:tr w14:paraId="2BAB12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 w14:paraId="3FA29B6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00</w:t>
            </w:r>
          </w:p>
        </w:tc>
        <w:tc>
          <w:tcPr>
            <w:tcW w:w="1362" w:type="dxa"/>
          </w:tcPr>
          <w:p w14:paraId="284D298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</w:tr>
      <w:tr w14:paraId="75E307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 w14:paraId="5FE442D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1362" w:type="dxa"/>
          </w:tcPr>
          <w:p w14:paraId="5C97484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.1</w:t>
            </w:r>
          </w:p>
        </w:tc>
      </w:tr>
      <w:tr w14:paraId="0FAFAD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 w14:paraId="2E62718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02</w:t>
            </w:r>
          </w:p>
        </w:tc>
        <w:tc>
          <w:tcPr>
            <w:tcW w:w="1362" w:type="dxa"/>
          </w:tcPr>
          <w:p w14:paraId="0FE87B4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.01</w:t>
            </w:r>
          </w:p>
        </w:tc>
      </w:tr>
      <w:tr w14:paraId="152DE6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 w14:paraId="7360CA7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03</w:t>
            </w:r>
          </w:p>
        </w:tc>
        <w:tc>
          <w:tcPr>
            <w:tcW w:w="1362" w:type="dxa"/>
          </w:tcPr>
          <w:p w14:paraId="5D0E799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.001</w:t>
            </w:r>
          </w:p>
        </w:tc>
      </w:tr>
    </w:tbl>
    <w:p w14:paraId="2D379929">
      <w:pPr>
        <w:ind w:firstLine="578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其中气体浓度值</w:t>
      </w:r>
      <w:r>
        <w:rPr>
          <w:rFonts w:asciiTheme="minorEastAsia" w:hAnsiTheme="minorEastAsia" w:eastAsiaTheme="minorEastAsia"/>
          <w:bCs/>
          <w:szCs w:val="24"/>
        </w:rPr>
        <w:t>=(气体浓度高位*256+气体浓度低位)*分辨率系数。</w:t>
      </w:r>
    </w:p>
    <w:p w14:paraId="675624D1">
      <w:pPr>
        <w:ind w:firstLine="578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 xml:space="preserve">FF </w:t>
      </w:r>
      <w:r>
        <w:rPr>
          <w:rFonts w:hint="eastAsia" w:asciiTheme="minorEastAsia" w:hAnsiTheme="minorEastAsia" w:eastAsiaTheme="minorEastAsia"/>
          <w:bCs/>
          <w:szCs w:val="24"/>
        </w:rPr>
        <w:t xml:space="preserve">01 </w:t>
      </w:r>
      <w:r>
        <w:rPr>
          <w:rFonts w:asciiTheme="minorEastAsia" w:hAnsiTheme="minorEastAsia" w:eastAsiaTheme="minorEastAsia"/>
          <w:bCs/>
          <w:szCs w:val="24"/>
        </w:rPr>
        <w:t>07 0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2</w:t>
      </w:r>
      <w:r>
        <w:rPr>
          <w:rFonts w:asciiTheme="minorEastAsia" w:hAnsiTheme="minorEastAsia" w:eastAsiaTheme="minorEastAsia"/>
          <w:bCs/>
          <w:szCs w:val="24"/>
        </w:rPr>
        <w:t xml:space="preserve">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 w14:paraId="5362A73F"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其中气体浓度值读出来为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x01 0x35，</w:t>
      </w:r>
      <w:r>
        <w:rPr>
          <w:rFonts w:hint="eastAsia" w:asciiTheme="minorEastAsia" w:hAnsiTheme="minorEastAsia" w:eastAsiaTheme="minorEastAsia"/>
          <w:bCs/>
          <w:szCs w:val="24"/>
        </w:rPr>
        <w:t>转换为1</w:t>
      </w:r>
      <w:r>
        <w:rPr>
          <w:rFonts w:asciiTheme="minorEastAsia" w:hAnsiTheme="minorEastAsia" w:eastAsiaTheme="minorEastAsia"/>
          <w:bCs/>
          <w:szCs w:val="24"/>
        </w:rPr>
        <w:t>0</w:t>
      </w:r>
      <w:r>
        <w:rPr>
          <w:rFonts w:hint="eastAsia" w:asciiTheme="minorEastAsia" w:hAnsiTheme="minorEastAsia" w:eastAsiaTheme="minorEastAsia"/>
          <w:bCs/>
          <w:szCs w:val="24"/>
        </w:rPr>
        <w:t>进制为1和5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</w:rPr>
        <w:t>；</w:t>
      </w:r>
      <w:r>
        <w:rPr>
          <w:rFonts w:asciiTheme="minorEastAsia" w:hAnsiTheme="minorEastAsia" w:eastAsiaTheme="minorEastAsia"/>
          <w:bCs/>
          <w:szCs w:val="24"/>
        </w:rPr>
        <w:t>分辨率位位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2</w:t>
      </w:r>
      <w:r>
        <w:rPr>
          <w:rFonts w:asciiTheme="minorEastAsia" w:hAnsiTheme="minorEastAsia" w:eastAsiaTheme="minorEastAsia"/>
          <w:bCs/>
          <w:szCs w:val="24"/>
        </w:rPr>
        <w:t>，查表分辨率系数位1，则计算：</w:t>
      </w:r>
    </w:p>
    <w:p w14:paraId="421D6261"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0.0</w:t>
      </w:r>
      <w:r>
        <w:rPr>
          <w:rFonts w:asciiTheme="minorEastAsia" w:hAnsiTheme="minorEastAsia" w:eastAsiaTheme="minorEastAsia"/>
          <w:bCs/>
          <w:szCs w:val="24"/>
        </w:rPr>
        <w:t>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.</w:t>
      </w:r>
      <w:r>
        <w:rPr>
          <w:rFonts w:asciiTheme="minorEastAsia" w:hAnsiTheme="minorEastAsia" w:eastAsiaTheme="minorEastAsia"/>
          <w:bCs/>
          <w:szCs w:val="24"/>
        </w:rPr>
        <w:t xml:space="preserve">09 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</w:p>
    <w:p w14:paraId="356C6484">
      <w:pPr>
        <w:numPr>
          <w:ilvl w:val="0"/>
          <w:numId w:val="4"/>
        </w:num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asciiTheme="minorEastAsia" w:hAnsiTheme="minorEastAsia" w:eastAsiaTheme="minorEastAsia"/>
          <w:b/>
          <w:sz w:val="28"/>
          <w:szCs w:val="28"/>
        </w:rPr>
        <w:t>问询模式-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139" w:type="dxa"/>
        <w:tblInd w:w="5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801"/>
        <w:gridCol w:w="908"/>
        <w:gridCol w:w="840"/>
        <w:gridCol w:w="627"/>
        <w:gridCol w:w="784"/>
        <w:gridCol w:w="784"/>
        <w:gridCol w:w="784"/>
        <w:gridCol w:w="776"/>
      </w:tblGrid>
      <w:tr w14:paraId="18420C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7139" w:type="dxa"/>
            <w:gridSpan w:val="9"/>
          </w:tcPr>
          <w:p w14:paraId="5943219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发送（TX）</w:t>
            </w:r>
          </w:p>
        </w:tc>
      </w:tr>
      <w:tr w14:paraId="4AEBDA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 w14:paraId="372D6A8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801" w:type="dxa"/>
          </w:tcPr>
          <w:p w14:paraId="1745247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908" w:type="dxa"/>
          </w:tcPr>
          <w:p w14:paraId="3A37385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40" w:type="dxa"/>
          </w:tcPr>
          <w:p w14:paraId="35D0019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Theme="minorEastAsia" w:hAnsiTheme="minorEastAsia" w:eastAsiaTheme="minorEastAsia"/>
                <w:bCs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  <w:t>单位</w:t>
            </w:r>
          </w:p>
        </w:tc>
        <w:tc>
          <w:tcPr>
            <w:tcW w:w="627" w:type="dxa"/>
          </w:tcPr>
          <w:p w14:paraId="592783A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784" w:type="dxa"/>
          </w:tcPr>
          <w:p w14:paraId="0C9228F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 w14:paraId="29010F0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 w14:paraId="62CFB2D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6" w:type="dxa"/>
          </w:tcPr>
          <w:p w14:paraId="472EBAA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 w14:paraId="7907E5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 w14:paraId="604DBEA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801" w:type="dxa"/>
          </w:tcPr>
          <w:p w14:paraId="7CD602D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908" w:type="dxa"/>
          </w:tcPr>
          <w:p w14:paraId="5E20D32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/>
                <w:bCs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  <w:t>3</w:t>
            </w:r>
          </w:p>
        </w:tc>
        <w:tc>
          <w:tcPr>
            <w:tcW w:w="840" w:type="dxa"/>
          </w:tcPr>
          <w:p w14:paraId="6E2CBAA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  <w:t>1</w:t>
            </w:r>
          </w:p>
        </w:tc>
        <w:tc>
          <w:tcPr>
            <w:tcW w:w="627" w:type="dxa"/>
          </w:tcPr>
          <w:p w14:paraId="3731C89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 w14:paraId="6CA3E78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 w14:paraId="00D9D02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 w14:paraId="34FA646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6" w:type="dxa"/>
          </w:tcPr>
          <w:p w14:paraId="6D5D3CB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</w:tr>
    </w:tbl>
    <w:p w14:paraId="39F27D76">
      <w:pPr>
        <w:ind w:firstLine="480" w:firstLineChars="200"/>
        <w:rPr>
          <w:rFonts w:hint="eastAsia"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实例发送:</w:t>
      </w:r>
      <w:r>
        <w:rPr>
          <w:rFonts w:asciiTheme="minorEastAsia" w:hAnsiTheme="minorEastAsia" w:eastAsiaTheme="minorEastAsia"/>
          <w:bCs/>
          <w:szCs w:val="24"/>
        </w:rPr>
        <w:t xml:space="preserve"> </w:t>
      </w:r>
      <w:r>
        <w:rPr>
          <w:rFonts w:hint="default"/>
          <w:lang w:val="en-US" w:eastAsia="zh-CN"/>
        </w:rPr>
        <w:t>FF 01 03 03 01 00 00 00 07</w:t>
      </w:r>
      <w:r>
        <w:rPr>
          <w:rFonts w:hint="eastAsia" w:asciiTheme="minorEastAsia" w:hAnsiTheme="minorEastAsia" w:eastAsiaTheme="minorEastAsia"/>
          <w:bCs/>
          <w:szCs w:val="24"/>
        </w:rPr>
        <w:t>问询一次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ppm</w:t>
      </w:r>
      <w:r>
        <w:rPr>
          <w:rFonts w:hint="eastAsia" w:asciiTheme="minorEastAsia" w:hAnsiTheme="minorEastAsia" w:eastAsiaTheme="minorEastAsia"/>
          <w:bCs/>
          <w:szCs w:val="24"/>
        </w:rPr>
        <w:t>数值</w:t>
      </w:r>
    </w:p>
    <w:p w14:paraId="0DE1AB9C">
      <w:pPr>
        <w:ind w:firstLine="480" w:firstLineChars="200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接收ASSI码单位ppm</w:t>
      </w:r>
    </w:p>
    <w:p w14:paraId="77C7808E">
      <w:pPr>
        <w:ind w:firstLine="480" w:firstLineChars="200"/>
        <w:rPr>
          <w:rFonts w:hint="default" w:asciiTheme="minorEastAsia" w:hAnsiTheme="minorEastAsia" w:eastAsiaTheme="minorEastAsia"/>
          <w:bCs/>
          <w:szCs w:val="24"/>
          <w:lang w:val="en-US" w:eastAsia="zh-CN"/>
        </w:rPr>
      </w:pPr>
      <w:r>
        <w:drawing>
          <wp:inline distT="0" distB="0" distL="114300" distR="114300">
            <wp:extent cx="1619250" cy="4191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0D07AA"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2.2 Modbus RTU通讯方式</w:t>
      </w:r>
    </w:p>
    <w:p w14:paraId="17C0A721"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2.2.1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 w14:paraId="1E40D0E2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 w14:paraId="51CF336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 w14:paraId="146327C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 w14:paraId="11C27372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 w14:paraId="03EE279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 w14:paraId="5A92B91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 w14:paraId="20C1A5E0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 w14:paraId="340FE1A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 w14:paraId="54DA5D7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 w14:paraId="28310182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 w14:paraId="03BADF8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 w14:paraId="120B49A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 w14:paraId="34141AA0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 w14:paraId="6BE8184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 w14:paraId="1A55D3F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 w14:paraId="7EF76D8D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 w14:paraId="33133A9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 w14:paraId="24D021A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 w14:paraId="1925A5C1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 w14:paraId="4FF28B9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 w14:paraId="1BDCD9B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 w14:paraId="790FC2D7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 w14:paraId="1D3CDC9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 w14:paraId="392C818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 w14:paraId="0C8AC686"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2.2.2 </w:t>
      </w:r>
      <w:r>
        <w:rPr>
          <w:rFonts w:hint="eastAsia" w:ascii="黑体" w:hAnsi="黑体" w:eastAsia="黑体" w:cs="黑体"/>
          <w:sz w:val="28"/>
          <w:szCs w:val="28"/>
        </w:rPr>
        <w:t>数据帧格式定义</w:t>
      </w:r>
    </w:p>
    <w:p w14:paraId="0B808EFA">
      <w:pPr>
        <w:pStyle w:val="6"/>
        <w:spacing w:line="320" w:lineRule="exact"/>
        <w:ind w:firstLine="480"/>
      </w:pPr>
      <w:r>
        <w:rPr>
          <w:rFonts w:hint="eastAsia"/>
        </w:rPr>
        <w:t>采用 Modbus-RTU 通询规约，格式如下：</w:t>
      </w:r>
    </w:p>
    <w:p w14:paraId="073360E4">
      <w:pPr>
        <w:pStyle w:val="6"/>
        <w:spacing w:line="320" w:lineRule="exact"/>
        <w:ind w:firstLine="480"/>
      </w:pPr>
      <w:r>
        <w:rPr>
          <w:rFonts w:hint="eastAsia"/>
        </w:rPr>
        <w:t>初始结构&gt;=4字节的时间</w:t>
      </w:r>
    </w:p>
    <w:p w14:paraId="0D385139">
      <w:pPr>
        <w:pStyle w:val="6"/>
        <w:spacing w:line="320" w:lineRule="exact"/>
        <w:ind w:firstLine="480"/>
      </w:pPr>
      <w:r>
        <w:rPr>
          <w:rFonts w:hint="eastAsia"/>
        </w:rPr>
        <w:t>地址码= 1字节</w:t>
      </w:r>
    </w:p>
    <w:p w14:paraId="25400C35">
      <w:pPr>
        <w:pStyle w:val="6"/>
        <w:spacing w:line="320" w:lineRule="exact"/>
        <w:ind w:firstLine="480"/>
      </w:pPr>
      <w:r>
        <w:rPr>
          <w:rFonts w:hint="eastAsia"/>
        </w:rPr>
        <w:t>功能码= 1字节</w:t>
      </w:r>
    </w:p>
    <w:p w14:paraId="63964EA8">
      <w:pPr>
        <w:pStyle w:val="6"/>
        <w:spacing w:line="320" w:lineRule="exact"/>
        <w:ind w:firstLine="480"/>
      </w:pPr>
      <w:r>
        <w:rPr>
          <w:rFonts w:hint="eastAsia"/>
        </w:rPr>
        <w:t>数据区= N字节</w:t>
      </w:r>
    </w:p>
    <w:p w14:paraId="7350D2F4">
      <w:pPr>
        <w:pStyle w:val="6"/>
        <w:spacing w:line="320" w:lineRule="exact"/>
        <w:ind w:firstLine="480"/>
      </w:pPr>
      <w:r>
        <w:rPr>
          <w:rFonts w:hint="eastAsia"/>
        </w:rPr>
        <w:t>错误校验= 16位 CRC 码</w:t>
      </w:r>
    </w:p>
    <w:p w14:paraId="3D62D4D1">
      <w:pPr>
        <w:pStyle w:val="6"/>
        <w:spacing w:line="320" w:lineRule="exact"/>
        <w:ind w:firstLine="480"/>
      </w:pPr>
      <w:r>
        <w:rPr>
          <w:rFonts w:hint="eastAsia"/>
        </w:rPr>
        <w:t>结束结构&gt;=4字节的时间</w:t>
      </w:r>
    </w:p>
    <w:p w14:paraId="775B2FF8">
      <w:pPr>
        <w:pStyle w:val="6"/>
        <w:spacing w:line="320" w:lineRule="exact"/>
        <w:ind w:firstLine="480"/>
      </w:pPr>
      <w:r>
        <w:rPr>
          <w:rFonts w:hint="eastAsia"/>
        </w:rPr>
        <w:t>地址码：为变送器的地址，在通询网络中是唯一的（出厂默认0x01）。</w:t>
      </w:r>
    </w:p>
    <w:p w14:paraId="18BE85D3">
      <w:pPr>
        <w:pStyle w:val="6"/>
        <w:spacing w:line="320" w:lineRule="exact"/>
        <w:ind w:firstLine="480"/>
      </w:pPr>
      <w:r>
        <w:rPr>
          <w:rFonts w:hint="eastAsia"/>
        </w:rPr>
        <w:t>功能码：主机所发指令功能提示，本变送器只用到功能码 0x03（读取存器数据）。</w:t>
      </w:r>
    </w:p>
    <w:p w14:paraId="0BB2ED37">
      <w:pPr>
        <w:pStyle w:val="6"/>
        <w:spacing w:line="320" w:lineRule="exact"/>
        <w:ind w:firstLine="480"/>
      </w:pPr>
      <w:r>
        <w:rPr>
          <w:rFonts w:hint="eastAsia"/>
        </w:rPr>
        <w:t>数据区：数据区是具体通询数区，注意 16bits 数据高字节在前</w:t>
      </w:r>
    </w:p>
    <w:p w14:paraId="054354FF">
      <w:pPr>
        <w:pStyle w:val="6"/>
        <w:spacing w:line="320" w:lineRule="exact"/>
        <w:ind w:firstLine="480"/>
      </w:pPr>
      <w:r>
        <w:rPr>
          <w:rFonts w:hint="eastAsia"/>
        </w:rPr>
        <w:t>CRC 码：二字节的校验码。</w:t>
      </w:r>
    </w:p>
    <w:p w14:paraId="0A2C1816">
      <w:pPr>
        <w:pStyle w:val="6"/>
        <w:spacing w:line="320" w:lineRule="exact"/>
        <w:ind w:firstLine="480"/>
      </w:pPr>
      <w:r>
        <w:rPr>
          <w:rFonts w:hint="eastAsia"/>
        </w:rPr>
        <w:t>问询帧</w:t>
      </w:r>
    </w:p>
    <w:tbl>
      <w:tblPr>
        <w:tblStyle w:val="7"/>
        <w:tblW w:w="6176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703"/>
        <w:gridCol w:w="984"/>
        <w:gridCol w:w="1124"/>
        <w:gridCol w:w="1124"/>
        <w:gridCol w:w="1541"/>
      </w:tblGrid>
      <w:tr w14:paraId="1558317B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700" w:type="dxa"/>
          </w:tcPr>
          <w:p w14:paraId="6C5AEAA7"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703" w:type="dxa"/>
          </w:tcPr>
          <w:p w14:paraId="0B848DD6"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984" w:type="dxa"/>
          </w:tcPr>
          <w:p w14:paraId="0574CB96"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寄存器起始地址</w:t>
            </w:r>
          </w:p>
        </w:tc>
        <w:tc>
          <w:tcPr>
            <w:tcW w:w="1124" w:type="dxa"/>
          </w:tcPr>
          <w:p w14:paraId="5BA4DEA0"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寄存器长度</w:t>
            </w:r>
          </w:p>
        </w:tc>
        <w:tc>
          <w:tcPr>
            <w:tcW w:w="1124" w:type="dxa"/>
          </w:tcPr>
          <w:p w14:paraId="35671B51"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校验码低位</w:t>
            </w:r>
          </w:p>
        </w:tc>
        <w:tc>
          <w:tcPr>
            <w:tcW w:w="1541" w:type="dxa"/>
          </w:tcPr>
          <w:p w14:paraId="0F057886"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校验码高位</w:t>
            </w:r>
          </w:p>
        </w:tc>
      </w:tr>
      <w:tr w14:paraId="0A695167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700" w:type="dxa"/>
          </w:tcPr>
          <w:p w14:paraId="7D564F39"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703" w:type="dxa"/>
          </w:tcPr>
          <w:p w14:paraId="78B09DF0"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984" w:type="dxa"/>
          </w:tcPr>
          <w:p w14:paraId="448A59E9"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 w14:paraId="5CE6AF2B"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 w14:paraId="7F34E314"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541" w:type="dxa"/>
          </w:tcPr>
          <w:p w14:paraId="7AF18EA3"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</w:tr>
    </w:tbl>
    <w:p w14:paraId="1F09AE73">
      <w:pPr>
        <w:pStyle w:val="2"/>
        <w:spacing w:after="0" w:line="320" w:lineRule="exact"/>
        <w:ind w:firstLine="480"/>
        <w:rPr>
          <w:rFonts w:eastAsia="Times New Roman"/>
          <w:sz w:val="21"/>
          <w:szCs w:val="21"/>
        </w:rPr>
      </w:pPr>
      <w:r>
        <w:rPr>
          <w:rFonts w:hint="eastAsia"/>
        </w:rPr>
        <w:t>应答帧</w:t>
      </w:r>
    </w:p>
    <w:tbl>
      <w:tblPr>
        <w:tblStyle w:val="7"/>
        <w:tblW w:w="6192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679"/>
        <w:gridCol w:w="1050"/>
        <w:gridCol w:w="1188"/>
        <w:gridCol w:w="1206"/>
        <w:gridCol w:w="1391"/>
      </w:tblGrid>
      <w:tr w14:paraId="2F022D7A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 w14:paraId="3A9FC3A2"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679" w:type="dxa"/>
          </w:tcPr>
          <w:p w14:paraId="72F53D02"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1050" w:type="dxa"/>
          </w:tcPr>
          <w:p w14:paraId="56F9F98E"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81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有效字节数</w:t>
            </w:r>
          </w:p>
        </w:tc>
        <w:tc>
          <w:tcPr>
            <w:tcW w:w="1188" w:type="dxa"/>
          </w:tcPr>
          <w:p w14:paraId="4AAFF5A6"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119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数据一区</w:t>
            </w:r>
          </w:p>
        </w:tc>
        <w:tc>
          <w:tcPr>
            <w:tcW w:w="1206" w:type="dxa"/>
          </w:tcPr>
          <w:p w14:paraId="0F755AEA"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第二数据区</w:t>
            </w:r>
          </w:p>
        </w:tc>
        <w:tc>
          <w:tcPr>
            <w:tcW w:w="1391" w:type="dxa"/>
          </w:tcPr>
          <w:p w14:paraId="155642EC"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23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第N数据区</w:t>
            </w:r>
          </w:p>
        </w:tc>
      </w:tr>
      <w:tr w14:paraId="4B8488BA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 w14:paraId="5874571B"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679" w:type="dxa"/>
          </w:tcPr>
          <w:p w14:paraId="6A6C0852"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050" w:type="dxa"/>
          </w:tcPr>
          <w:p w14:paraId="1C475407"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188" w:type="dxa"/>
          </w:tcPr>
          <w:p w14:paraId="5880E918"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206" w:type="dxa"/>
          </w:tcPr>
          <w:p w14:paraId="5FC9945B"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391" w:type="dxa"/>
          </w:tcPr>
          <w:p w14:paraId="4933FC99"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</w:tr>
    </w:tbl>
    <w:p w14:paraId="477FE5C1">
      <w:pPr>
        <w:widowControl/>
        <w:rPr>
          <w:rFonts w:hint="eastAsia" w:ascii="黑体" w:hAnsi="黑体" w:eastAsia="黑体" w:cs="黑体"/>
          <w:kern w:val="0"/>
          <w:sz w:val="28"/>
          <w:szCs w:val="28"/>
        </w:rPr>
      </w:pPr>
    </w:p>
    <w:p w14:paraId="7139628F"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2.2.3 </w:t>
      </w:r>
      <w:r>
        <w:rPr>
          <w:rFonts w:hint="eastAsia" w:ascii="黑体" w:hAnsi="黑体" w:eastAsia="黑体" w:cs="黑体"/>
          <w:sz w:val="28"/>
          <w:szCs w:val="28"/>
        </w:rPr>
        <w:t>寄存器地址</w:t>
      </w:r>
    </w:p>
    <w:tbl>
      <w:tblPr>
        <w:tblStyle w:val="7"/>
        <w:tblW w:w="6237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850"/>
      </w:tblGrid>
      <w:tr w14:paraId="6B7B50E5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1418" w:type="dxa"/>
          </w:tcPr>
          <w:p w14:paraId="012AECC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寄存器地址</w:t>
            </w:r>
          </w:p>
        </w:tc>
        <w:tc>
          <w:tcPr>
            <w:tcW w:w="992" w:type="dxa"/>
          </w:tcPr>
          <w:p w14:paraId="12B9F9D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PLC组态地址</w:t>
            </w:r>
          </w:p>
        </w:tc>
        <w:tc>
          <w:tcPr>
            <w:tcW w:w="2977" w:type="dxa"/>
          </w:tcPr>
          <w:p w14:paraId="37F7F2D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内容</w:t>
            </w:r>
          </w:p>
        </w:tc>
        <w:tc>
          <w:tcPr>
            <w:tcW w:w="850" w:type="dxa"/>
          </w:tcPr>
          <w:p w14:paraId="7980E90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操作</w:t>
            </w:r>
          </w:p>
        </w:tc>
      </w:tr>
      <w:tr w14:paraId="4A1A6966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 w14:paraId="6C992B0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0006H</w:t>
            </w:r>
          </w:p>
        </w:tc>
        <w:tc>
          <w:tcPr>
            <w:tcW w:w="992" w:type="dxa"/>
          </w:tcPr>
          <w:p w14:paraId="05E27D7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40007</w:t>
            </w:r>
          </w:p>
        </w:tc>
        <w:tc>
          <w:tcPr>
            <w:tcW w:w="2977" w:type="dxa"/>
          </w:tcPr>
          <w:p w14:paraId="4EDFC80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气体浓度（单位ppm）</w:t>
            </w:r>
          </w:p>
        </w:tc>
        <w:tc>
          <w:tcPr>
            <w:tcW w:w="850" w:type="dxa"/>
          </w:tcPr>
          <w:p w14:paraId="241ADA1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只读</w:t>
            </w:r>
          </w:p>
        </w:tc>
      </w:tr>
      <w:tr w14:paraId="4F7E29E8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 w14:paraId="226EB47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0100H</w:t>
            </w:r>
          </w:p>
        </w:tc>
        <w:tc>
          <w:tcPr>
            <w:tcW w:w="992" w:type="dxa"/>
          </w:tcPr>
          <w:p w14:paraId="586B8E4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40101</w:t>
            </w:r>
          </w:p>
        </w:tc>
        <w:tc>
          <w:tcPr>
            <w:tcW w:w="2977" w:type="dxa"/>
          </w:tcPr>
          <w:p w14:paraId="79411DD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设备地址(0-252)</w:t>
            </w:r>
          </w:p>
        </w:tc>
        <w:tc>
          <w:tcPr>
            <w:tcW w:w="850" w:type="dxa"/>
          </w:tcPr>
          <w:p w14:paraId="2DBABCE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  <w:tr w14:paraId="3693808F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1418" w:type="dxa"/>
          </w:tcPr>
          <w:p w14:paraId="4D7D929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0101H</w:t>
            </w:r>
          </w:p>
        </w:tc>
        <w:tc>
          <w:tcPr>
            <w:tcW w:w="992" w:type="dxa"/>
          </w:tcPr>
          <w:p w14:paraId="2C28B52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40102</w:t>
            </w:r>
          </w:p>
        </w:tc>
        <w:tc>
          <w:tcPr>
            <w:tcW w:w="2977" w:type="dxa"/>
          </w:tcPr>
          <w:p w14:paraId="3A03155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波特率(2400/4800/9600)</w:t>
            </w:r>
          </w:p>
        </w:tc>
        <w:tc>
          <w:tcPr>
            <w:tcW w:w="850" w:type="dxa"/>
          </w:tcPr>
          <w:p w14:paraId="6F1518D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</w:tbl>
    <w:p w14:paraId="086A9038"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2.2.4 </w:t>
      </w:r>
      <w:r>
        <w:rPr>
          <w:rFonts w:hint="eastAsia" w:ascii="黑体" w:hAnsi="黑体" w:eastAsia="黑体" w:cs="黑体"/>
          <w:sz w:val="28"/>
          <w:szCs w:val="28"/>
        </w:rPr>
        <w:t>通讯协议示例以及解释</w:t>
      </w:r>
    </w:p>
    <w:p w14:paraId="58BE2494">
      <w:pPr>
        <w:widowControl/>
        <w:jc w:val="left"/>
        <w:rPr>
          <w:rFonts w:ascii="黑体" w:hAnsi="黑体" w:eastAsia="黑体" w:cs="黑体"/>
          <w:szCs w:val="24"/>
        </w:rPr>
      </w:pPr>
      <w:r>
        <w:rPr>
          <w:rFonts w:hint="eastAsia" w:ascii="黑体" w:hAnsi="黑体" w:eastAsia="黑体" w:cs="黑体"/>
          <w:szCs w:val="24"/>
        </w:rPr>
        <w:t>（1）读取设备地址0x01的气体值</w:t>
      </w:r>
    </w:p>
    <w:p w14:paraId="64BAF109">
      <w:r>
        <w:rPr>
          <w:rFonts w:hint="eastAsia"/>
        </w:rPr>
        <w:t>问询帧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 w14:paraId="15DFED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 w14:paraId="0E1BBEE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 w14:paraId="1406CD8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 w14:paraId="2045B59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起始地址</w:t>
            </w:r>
          </w:p>
        </w:tc>
        <w:tc>
          <w:tcPr>
            <w:tcW w:w="1277" w:type="dxa"/>
            <w:vAlign w:val="center"/>
          </w:tcPr>
          <w:p w14:paraId="3BCD4AC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数据长度</w:t>
            </w:r>
          </w:p>
        </w:tc>
        <w:tc>
          <w:tcPr>
            <w:tcW w:w="1041" w:type="dxa"/>
            <w:vAlign w:val="center"/>
          </w:tcPr>
          <w:p w14:paraId="42C7F82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 w14:paraId="2D2F465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 w14:paraId="11A544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 w14:paraId="22BF4FB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 w14:paraId="62B3536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 w14:paraId="6ED4CEC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0x00,0x06</w:t>
            </w:r>
          </w:p>
        </w:tc>
        <w:tc>
          <w:tcPr>
            <w:tcW w:w="1277" w:type="dxa"/>
            <w:vAlign w:val="center"/>
          </w:tcPr>
          <w:p w14:paraId="25E81B7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0x00,0x01</w:t>
            </w:r>
          </w:p>
        </w:tc>
        <w:tc>
          <w:tcPr>
            <w:tcW w:w="1041" w:type="dxa"/>
            <w:vAlign w:val="center"/>
          </w:tcPr>
          <w:p w14:paraId="1BB55F7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0x64</w:t>
            </w:r>
          </w:p>
        </w:tc>
        <w:tc>
          <w:tcPr>
            <w:tcW w:w="968" w:type="dxa"/>
            <w:vAlign w:val="center"/>
          </w:tcPr>
          <w:p w14:paraId="468DE98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0x0B</w:t>
            </w:r>
          </w:p>
        </w:tc>
      </w:tr>
    </w:tbl>
    <w:p w14:paraId="0F94B86F">
      <w:pPr>
        <w:pStyle w:val="6"/>
        <w:ind w:firstLine="0" w:firstLineChars="0"/>
      </w:pPr>
      <w:r>
        <w:rPr>
          <w:rFonts w:hint="eastAsia"/>
        </w:rPr>
        <w:t>应答帧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 w14:paraId="4F0AF7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 w14:paraId="2C4EB9E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 w14:paraId="68632AF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 w14:paraId="3E9AE48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有效字节数</w:t>
            </w:r>
          </w:p>
        </w:tc>
        <w:tc>
          <w:tcPr>
            <w:tcW w:w="1277" w:type="dxa"/>
            <w:vAlign w:val="center"/>
          </w:tcPr>
          <w:p w14:paraId="556027A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气体浓度值</w:t>
            </w:r>
          </w:p>
        </w:tc>
        <w:tc>
          <w:tcPr>
            <w:tcW w:w="1041" w:type="dxa"/>
            <w:vAlign w:val="center"/>
          </w:tcPr>
          <w:p w14:paraId="286F6F0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 w14:paraId="1A25F42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 w14:paraId="41DBB4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 w14:paraId="713AE10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 w14:paraId="59866E7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 w14:paraId="47AFBF6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0x02</w:t>
            </w:r>
          </w:p>
        </w:tc>
        <w:tc>
          <w:tcPr>
            <w:tcW w:w="1277" w:type="dxa"/>
            <w:vAlign w:val="center"/>
          </w:tcPr>
          <w:p w14:paraId="00B2779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0x00,0x10</w:t>
            </w:r>
          </w:p>
        </w:tc>
        <w:tc>
          <w:tcPr>
            <w:tcW w:w="1041" w:type="dxa"/>
            <w:vAlign w:val="center"/>
          </w:tcPr>
          <w:p w14:paraId="06E8002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0x78</w:t>
            </w:r>
          </w:p>
        </w:tc>
        <w:tc>
          <w:tcPr>
            <w:tcW w:w="968" w:type="dxa"/>
            <w:vAlign w:val="center"/>
          </w:tcPr>
          <w:p w14:paraId="6F54537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0x35</w:t>
            </w:r>
          </w:p>
        </w:tc>
      </w:tr>
    </w:tbl>
    <w:p w14:paraId="1D01D889"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气体浓度:</w:t>
      </w:r>
    </w:p>
    <w:p w14:paraId="7E3C7BD2">
      <w:pPr>
        <w:pStyle w:val="2"/>
        <w:spacing w:after="0" w:line="320" w:lineRule="exact"/>
        <w:ind w:firstLine="480"/>
        <w:rPr>
          <w:rFonts w:hint="eastAsia"/>
          <w:vertAlign w:val="superscript"/>
        </w:rPr>
      </w:pPr>
      <w:r>
        <w:rPr>
          <w:rFonts w:hint="eastAsia" w:cs="黑体" w:asciiTheme="minorEastAsia" w:hAnsiTheme="minorEastAsia" w:eastAsiaTheme="minorEastAsia"/>
          <w:szCs w:val="24"/>
        </w:rPr>
        <w:t>0x00 0x10（16进制）=16（10进制）</w:t>
      </w:r>
      <w:r>
        <w:rPr>
          <w:rFonts w:hint="eastAsia" w:ascii="宋体" w:hAnsi="宋体" w:cs="宋体"/>
          <w:bCs/>
        </w:rPr>
        <w:t>=&gt;气体浓度=</w:t>
      </w:r>
      <w:r>
        <w:rPr>
          <w:rFonts w:hint="eastAsia" w:ascii="宋体" w:hAnsi="宋体" w:cs="宋体"/>
          <w:bCs/>
          <w:lang w:val="en-US" w:eastAsia="zh-CN"/>
        </w:rPr>
        <w:t>0.</w:t>
      </w:r>
      <w:r>
        <w:rPr>
          <w:rFonts w:hint="eastAsia" w:ascii="宋体" w:hAnsi="宋体" w:cs="宋体"/>
          <w:bCs/>
        </w:rPr>
        <w:t>16ppm</w:t>
      </w:r>
    </w:p>
    <w:p w14:paraId="13FBF0EF">
      <w:pPr>
        <w:widowControl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第3章 附录</w:t>
      </w:r>
    </w:p>
    <w:p w14:paraId="119ABD53"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3.1 注意事项</w:t>
      </w:r>
    </w:p>
    <w:p w14:paraId="0FDBCC41">
      <w:pPr>
        <w:pStyle w:val="6"/>
        <w:ind w:firstLine="0" w:firstLineChars="0"/>
      </w:pPr>
      <w:r>
        <w:rPr>
          <w:rFonts w:hint="eastAsia"/>
        </w:rPr>
        <w:t>（1）</w:t>
      </w:r>
      <w:r>
        <w:t>禁止插拔模组上的传感器</w:t>
      </w:r>
      <w:r>
        <w:rPr>
          <w:rFonts w:hint="eastAsia"/>
        </w:rPr>
        <w:t>,错误的使用方式会造成不可逆损坏。</w:t>
      </w:r>
    </w:p>
    <w:p w14:paraId="5CD8D610">
      <w:pPr>
        <w:pStyle w:val="6"/>
        <w:ind w:firstLine="0" w:firstLineChars="0"/>
      </w:pPr>
      <w:r>
        <w:rPr>
          <w:rFonts w:hint="eastAsia"/>
        </w:rPr>
        <w:t>（2）</w:t>
      </w:r>
      <w:r>
        <w:t xml:space="preserve">禁止直接焊接模组的插针，可对插针的管座进行焊接。 </w:t>
      </w:r>
    </w:p>
    <w:p w14:paraId="36A866FE">
      <w:pPr>
        <w:pStyle w:val="6"/>
        <w:ind w:firstLine="0" w:firstLineChars="0"/>
      </w:pPr>
      <w:r>
        <w:rPr>
          <w:rFonts w:hint="eastAsia"/>
        </w:rPr>
        <w:t>（3）</w:t>
      </w:r>
      <w:r>
        <w:t>模组避免接触有机溶剂（包括硅胶及其它胶粘剂）、涂料、药剂、油类</w:t>
      </w:r>
      <w:r>
        <w:rPr>
          <w:rFonts w:hint="eastAsia"/>
        </w:rPr>
        <w:t>。</w:t>
      </w:r>
    </w:p>
    <w:p w14:paraId="628427C6">
      <w:pPr>
        <w:pStyle w:val="6"/>
        <w:ind w:firstLine="0" w:firstLineChars="0"/>
      </w:pPr>
      <w:r>
        <w:rPr>
          <w:rFonts w:hint="eastAsia"/>
        </w:rPr>
        <w:t>（4）切勿通过超量程</w:t>
      </w:r>
      <w:r>
        <w:t>高浓度气体</w:t>
      </w:r>
      <w:r>
        <w:rPr>
          <w:rFonts w:hint="eastAsia"/>
        </w:rPr>
        <w:t>，会造成不</w:t>
      </w:r>
      <w:r>
        <w:rPr>
          <w:rFonts w:hint="eastAsia"/>
          <w:lang w:val="en-US" w:eastAsia="zh-CN"/>
        </w:rPr>
        <w:t>可逆</w:t>
      </w:r>
      <w:r>
        <w:rPr>
          <w:rFonts w:hint="eastAsia"/>
        </w:rPr>
        <w:t>损坏</w:t>
      </w:r>
      <w:r>
        <w:t xml:space="preserve">。 </w:t>
      </w:r>
    </w:p>
    <w:p w14:paraId="60CC76B1">
      <w:pPr>
        <w:pStyle w:val="6"/>
        <w:ind w:firstLine="0" w:firstLineChars="0"/>
      </w:pPr>
      <w:r>
        <w:rPr>
          <w:rFonts w:hint="eastAsia"/>
        </w:rPr>
        <w:t>（5）</w:t>
      </w:r>
      <w:r>
        <w:t xml:space="preserve">模组不可经受撞击或震动。 </w:t>
      </w:r>
    </w:p>
    <w:p w14:paraId="6CB1677D">
      <w:pPr>
        <w:pStyle w:val="6"/>
        <w:ind w:firstLine="0" w:firstLineChars="0"/>
      </w:pPr>
      <w:r>
        <w:rPr>
          <w:rFonts w:hint="eastAsia"/>
        </w:rPr>
        <w:t>（6）</w:t>
      </w:r>
      <w:r>
        <w:t xml:space="preserve">模组初次上电使用需预热 </w:t>
      </w:r>
      <w:r>
        <w:rPr>
          <w:rFonts w:hint="eastAsia"/>
        </w:rPr>
        <w:t>3</w:t>
      </w:r>
      <w:r>
        <w:t xml:space="preserve"> 分钟以上。 </w:t>
      </w:r>
    </w:p>
    <w:p w14:paraId="5037007A">
      <w:pPr>
        <w:pStyle w:val="6"/>
        <w:ind w:firstLine="0" w:firstLineChars="0"/>
      </w:pPr>
      <w:r>
        <w:rPr>
          <w:rFonts w:hint="eastAsia"/>
        </w:rPr>
        <w:t>（7）</w:t>
      </w:r>
      <w:r>
        <w:t xml:space="preserve">请勿将该模组应用于涉及人身安全的系统中。 </w:t>
      </w:r>
    </w:p>
    <w:p w14:paraId="2B82B09B">
      <w:pPr>
        <w:rPr>
          <w:bCs/>
          <w:sz w:val="22"/>
          <w:szCs w:val="30"/>
        </w:rPr>
      </w:pPr>
      <w:r>
        <w:rPr>
          <w:rFonts w:hint="eastAsia"/>
        </w:rPr>
        <w:t>（8）</w:t>
      </w:r>
      <w:r>
        <w:t>请勿将模组安装在强空气对流环境下使用</w:t>
      </w:r>
    </w:p>
    <w:p w14:paraId="17C0A6FB">
      <w:pPr>
        <w:spacing w:line="320" w:lineRule="exact"/>
        <w:ind w:firstLine="480" w:firstLineChars="20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C262619"/>
    <w:multiLevelType w:val="singleLevel"/>
    <w:tmpl w:val="BC262619"/>
    <w:lvl w:ilvl="0" w:tentative="0">
      <w:start w:val="2"/>
      <w:numFmt w:val="decimal"/>
      <w:suff w:val="nothing"/>
      <w:lvlText w:val="（%1）"/>
      <w:lvlJc w:val="left"/>
    </w:lvl>
  </w:abstractNum>
  <w:abstractNum w:abstractNumId="1">
    <w:nsid w:val="5AC50BA5"/>
    <w:multiLevelType w:val="multilevel"/>
    <w:tmpl w:val="5AC50BA5"/>
    <w:lvl w:ilvl="0" w:tentative="0">
      <w:start w:val="1"/>
      <w:numFmt w:val="decimal"/>
      <w:lvlText w:val="%1"/>
      <w:lvlJc w:val="left"/>
      <w:pPr>
        <w:ind w:left="630" w:hanging="630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2">
    <w:nsid w:val="6A311AAE"/>
    <w:multiLevelType w:val="multilevel"/>
    <w:tmpl w:val="6A311AAE"/>
    <w:lvl w:ilvl="0" w:tentative="0">
      <w:start w:val="2"/>
      <w:numFmt w:val="decimal"/>
      <w:lvlText w:val="第%1章"/>
      <w:lvlJc w:val="left"/>
      <w:pPr>
        <w:ind w:left="1080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7EBD66E7"/>
    <w:multiLevelType w:val="multilevel"/>
    <w:tmpl w:val="7EBD66E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RlZjU0MjI5MGJkNjAwYTVhYTNlYTU0NjljMTY5OTUifQ=="/>
  </w:docVars>
  <w:rsids>
    <w:rsidRoot w:val="53D86F4D"/>
    <w:rsid w:val="00015BD2"/>
    <w:rsid w:val="00020E09"/>
    <w:rsid w:val="00060BAF"/>
    <w:rsid w:val="00067653"/>
    <w:rsid w:val="000D3A89"/>
    <w:rsid w:val="000E600D"/>
    <w:rsid w:val="0012469E"/>
    <w:rsid w:val="00124D1F"/>
    <w:rsid w:val="0015007D"/>
    <w:rsid w:val="00155A8D"/>
    <w:rsid w:val="00165196"/>
    <w:rsid w:val="00170F47"/>
    <w:rsid w:val="00180651"/>
    <w:rsid w:val="001A12DE"/>
    <w:rsid w:val="001C5EDD"/>
    <w:rsid w:val="00222295"/>
    <w:rsid w:val="002B3227"/>
    <w:rsid w:val="002C79CC"/>
    <w:rsid w:val="003564D3"/>
    <w:rsid w:val="00391D30"/>
    <w:rsid w:val="003D08CC"/>
    <w:rsid w:val="00407679"/>
    <w:rsid w:val="0045025A"/>
    <w:rsid w:val="004F0158"/>
    <w:rsid w:val="00506C04"/>
    <w:rsid w:val="00545E52"/>
    <w:rsid w:val="0056250F"/>
    <w:rsid w:val="005A55FE"/>
    <w:rsid w:val="005E11BB"/>
    <w:rsid w:val="005E5B1C"/>
    <w:rsid w:val="00604510"/>
    <w:rsid w:val="006051FD"/>
    <w:rsid w:val="00622E9A"/>
    <w:rsid w:val="00655215"/>
    <w:rsid w:val="00670982"/>
    <w:rsid w:val="00671F07"/>
    <w:rsid w:val="0069325D"/>
    <w:rsid w:val="006B316B"/>
    <w:rsid w:val="006C071E"/>
    <w:rsid w:val="006F0395"/>
    <w:rsid w:val="006F0FA5"/>
    <w:rsid w:val="00702E70"/>
    <w:rsid w:val="007436CC"/>
    <w:rsid w:val="007656C5"/>
    <w:rsid w:val="007945EB"/>
    <w:rsid w:val="007953A9"/>
    <w:rsid w:val="0079639D"/>
    <w:rsid w:val="007B73CD"/>
    <w:rsid w:val="007C24FE"/>
    <w:rsid w:val="007C4CC2"/>
    <w:rsid w:val="0081358D"/>
    <w:rsid w:val="00875F33"/>
    <w:rsid w:val="00883ACA"/>
    <w:rsid w:val="00944361"/>
    <w:rsid w:val="00977521"/>
    <w:rsid w:val="009A7432"/>
    <w:rsid w:val="009E00BC"/>
    <w:rsid w:val="009E0B6D"/>
    <w:rsid w:val="00A2496B"/>
    <w:rsid w:val="00A46F54"/>
    <w:rsid w:val="00A87E4B"/>
    <w:rsid w:val="00AC36BD"/>
    <w:rsid w:val="00B1053B"/>
    <w:rsid w:val="00B1634D"/>
    <w:rsid w:val="00B20B65"/>
    <w:rsid w:val="00B33158"/>
    <w:rsid w:val="00B73AE4"/>
    <w:rsid w:val="00B766DF"/>
    <w:rsid w:val="00BB0C11"/>
    <w:rsid w:val="00BB6D1F"/>
    <w:rsid w:val="00BC0A82"/>
    <w:rsid w:val="00BF6C06"/>
    <w:rsid w:val="00C1747F"/>
    <w:rsid w:val="00C32F80"/>
    <w:rsid w:val="00C33608"/>
    <w:rsid w:val="00C4260D"/>
    <w:rsid w:val="00C61020"/>
    <w:rsid w:val="00C9670A"/>
    <w:rsid w:val="00D3244E"/>
    <w:rsid w:val="00D420C6"/>
    <w:rsid w:val="00D461E0"/>
    <w:rsid w:val="00D5189C"/>
    <w:rsid w:val="00E044C1"/>
    <w:rsid w:val="00E36CF2"/>
    <w:rsid w:val="00E43E41"/>
    <w:rsid w:val="00E464AF"/>
    <w:rsid w:val="00E46C55"/>
    <w:rsid w:val="00E73302"/>
    <w:rsid w:val="00E81D91"/>
    <w:rsid w:val="00EA4C80"/>
    <w:rsid w:val="00EB4450"/>
    <w:rsid w:val="00EF6D94"/>
    <w:rsid w:val="00F0060B"/>
    <w:rsid w:val="00F11FF0"/>
    <w:rsid w:val="00F14272"/>
    <w:rsid w:val="00F1614E"/>
    <w:rsid w:val="00F22834"/>
    <w:rsid w:val="00F350FC"/>
    <w:rsid w:val="00F509D7"/>
    <w:rsid w:val="00F50C59"/>
    <w:rsid w:val="00F54888"/>
    <w:rsid w:val="00F57132"/>
    <w:rsid w:val="00F577FE"/>
    <w:rsid w:val="00F6582F"/>
    <w:rsid w:val="00F7077B"/>
    <w:rsid w:val="00FD56CA"/>
    <w:rsid w:val="00FF70D3"/>
    <w:rsid w:val="01631897"/>
    <w:rsid w:val="04AF51AA"/>
    <w:rsid w:val="05E46175"/>
    <w:rsid w:val="0CD40D0F"/>
    <w:rsid w:val="13C34887"/>
    <w:rsid w:val="17B46406"/>
    <w:rsid w:val="1A8E6B09"/>
    <w:rsid w:val="1B1D774B"/>
    <w:rsid w:val="1B852971"/>
    <w:rsid w:val="1C9F6277"/>
    <w:rsid w:val="2190067C"/>
    <w:rsid w:val="24092194"/>
    <w:rsid w:val="26EA473F"/>
    <w:rsid w:val="2778785C"/>
    <w:rsid w:val="2A87408E"/>
    <w:rsid w:val="2E875E91"/>
    <w:rsid w:val="336A649F"/>
    <w:rsid w:val="3AA16502"/>
    <w:rsid w:val="40EC6F1E"/>
    <w:rsid w:val="477F442B"/>
    <w:rsid w:val="48554415"/>
    <w:rsid w:val="4B097D91"/>
    <w:rsid w:val="4F595374"/>
    <w:rsid w:val="53D86F4D"/>
    <w:rsid w:val="540063AD"/>
    <w:rsid w:val="5E8A41A7"/>
    <w:rsid w:val="641C0F00"/>
    <w:rsid w:val="64CE3B87"/>
    <w:rsid w:val="668352C3"/>
    <w:rsid w:val="66E519AC"/>
    <w:rsid w:val="6CA5243E"/>
    <w:rsid w:val="770A6E7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lang w:val="en-US" w:eastAsia="zh-CN" w:bidi="ar-SA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3">
    <w:name w:val="Balloon Text"/>
    <w:basedOn w:val="1"/>
    <w:link w:val="12"/>
    <w:autoRedefine/>
    <w:qFormat/>
    <w:uiPriority w:val="0"/>
    <w:rPr>
      <w:sz w:val="18"/>
      <w:szCs w:val="18"/>
    </w:rPr>
  </w:style>
  <w:style w:type="paragraph" w:styleId="4">
    <w:name w:val="footer"/>
    <w:basedOn w:val="1"/>
    <w:link w:val="1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First Indent"/>
    <w:basedOn w:val="2"/>
    <w:autoRedefine/>
    <w:qFormat/>
    <w:uiPriority w:val="0"/>
    <w:pPr>
      <w:ind w:firstLine="498"/>
    </w:pPr>
  </w:style>
  <w:style w:type="character" w:customStyle="1" w:styleId="9">
    <w:name w:val="页眉 Char"/>
    <w:basedOn w:val="8"/>
    <w:link w:val="5"/>
    <w:autoRedefine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8"/>
    <w:link w:val="4"/>
    <w:autoRedefine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autoRedefine/>
    <w:unhideWhenUsed/>
    <w:qFormat/>
    <w:uiPriority w:val="99"/>
    <w:pPr>
      <w:ind w:firstLine="420" w:firstLineChars="200"/>
    </w:pPr>
  </w:style>
  <w:style w:type="character" w:customStyle="1" w:styleId="12">
    <w:name w:val="批注框文本 Char"/>
    <w:basedOn w:val="8"/>
    <w:link w:val="3"/>
    <w:autoRedefine/>
    <w:qFormat/>
    <w:uiPriority w:val="0"/>
    <w:rPr>
      <w:kern w:val="2"/>
      <w:sz w:val="18"/>
      <w:szCs w:val="18"/>
    </w:rPr>
  </w:style>
  <w:style w:type="paragraph" w:customStyle="1" w:styleId="13">
    <w:name w:val="Table Paragraph"/>
    <w:basedOn w:val="1"/>
    <w:autoRedefine/>
    <w:qFormat/>
    <w:uiPriority w:val="1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855</Words>
  <Characters>1089</Characters>
  <Lines>20</Lines>
  <Paragraphs>5</Paragraphs>
  <TotalTime>10</TotalTime>
  <ScaleCrop>false</ScaleCrop>
  <LinksUpToDate>false</LinksUpToDate>
  <CharactersWithSpaces>1156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2019-09-05T07:46:00Z</dcterms:created>
  <dc:creator>许-技术支持</dc:creator>
  <cp:lastModifiedBy>龙哥</cp:lastModifiedBy>
  <cp:lastPrinted>2020-05-22T08:02:00Z</cp:lastPrinted>
  <dcterms:modified xsi:type="dcterms:W3CDTF">2024-10-29T00:46:14Z</dcterms:modified>
  <cp:revision>89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A80F2554874D4B608569F34F9D6D61AF_12</vt:lpwstr>
  </property>
</Properties>
</file>