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bookmarkStart w:id="0" w:name="_GoBack"/>
      <w:bookmarkEnd w:id="0"/>
      <w:r>
        <w:rPr>
          <w:sz w:val="24"/>
        </w:rPr>
        <mc:AlternateContent>
          <mc:Choice Requires="wps">
            <w:drawing>
              <wp:anchor distT="0" distB="0" distL="114300" distR="114300" simplePos="0" relativeHeight="251660288" behindDoc="0" locked="0" layoutInCell="1" allowOverlap="1">
                <wp:simplePos x="0" y="0"/>
                <wp:positionH relativeFrom="column">
                  <wp:posOffset>-710565</wp:posOffset>
                </wp:positionH>
                <wp:positionV relativeFrom="paragraph">
                  <wp:posOffset>-322580</wp:posOffset>
                </wp:positionV>
                <wp:extent cx="6800850" cy="3886200"/>
                <wp:effectExtent l="0" t="0" r="0" b="0"/>
                <wp:wrapNone/>
                <wp:docPr id="2" name="文本框 2"/>
                <wp:cNvGraphicFramePr/>
                <a:graphic xmlns:a="http://schemas.openxmlformats.org/drawingml/2006/main">
                  <a:graphicData uri="http://schemas.microsoft.com/office/word/2010/wordprocessingShape">
                    <wps:wsp>
                      <wps:cNvSpPr txBox="1"/>
                      <wps:spPr>
                        <a:xfrm>
                          <a:off x="432435" y="591820"/>
                          <a:ext cx="6800850" cy="3886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S型应力计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SG-YS-100</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95pt;margin-top:-25.4pt;height:306pt;width:535.5pt;z-index:251660288;mso-width-relative:page;mso-height-relative:page;" filled="f" stroked="f" coordsize="21600,21600" o:gfxdata="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UIu2b9wAAAAMAQAADwAAAAAAAAAB&#10;ACAAAAAiAAAAZHJzL2Rvd25yZXYueG1sUEsBAhQAFAAAAAgAh07iQHeQ+DVFAgAAcQQAAA4AAAAA&#10;AAAAAQAgAAAAKwEAAGRycy9lMm9Eb2MueG1sUEsFBgAAAAAGAAYAWQEAAOIFAAAAAA==&#10;">
                <v:fill on="f" focussize="0,0"/>
                <v:stroke on="f" weight="0.5pt"/>
                <v:imagedata o:title=""/>
                <o:lock v:ext="edit" aspectratio="f"/>
                <v:textbo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S型应力计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SG-YS-100</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rPr>
      </w:pPr>
      <w:r>
        <w:rPr>
          <w:rFonts w:hint="eastAsia" w:ascii="黑体" w:hAnsi="黑体" w:eastAsia="黑体" w:cs="黑体"/>
          <w:b/>
          <w:bCs/>
          <w:sz w:val="36"/>
          <w:szCs w:val="36"/>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default" w:ascii="黑体" w:hAnsi="黑体" w:eastAsia="黑体" w:cs="黑体"/>
          <w:b/>
          <w:bCs/>
          <w:sz w:val="30"/>
          <w:szCs w:val="30"/>
          <w:lang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rPr>
      </w:pPr>
      <w:r>
        <w:rPr>
          <w:rFonts w:hint="eastAsia" w:ascii="宋体" w:hAnsi="宋体" w:cs="宋体"/>
          <w:lang w:val="en-US" w:eastAsia="zh-CN"/>
        </w:rPr>
        <w:t>S型</w:t>
      </w:r>
      <w:r>
        <w:rPr>
          <w:rFonts w:hint="eastAsia" w:ascii="宋体" w:hAnsi="宋体" w:eastAsia="宋体" w:cs="宋体"/>
        </w:rPr>
        <w:fldChar w:fldCharType="begin"/>
      </w:r>
      <w:r>
        <w:rPr>
          <w:rFonts w:hint="eastAsia" w:ascii="宋体" w:hAnsi="宋体" w:eastAsia="宋体" w:cs="宋体"/>
        </w:rPr>
        <w:instrText xml:space="preserve"> HYPERLINK "https://zhida.zhihu.com/search?content_id=231036999&amp;content_type=Article&amp;match_order=1&amp;q=%E6%8B%89%E5%8E%8B%E5%8A%9B%E4%BC%A0%E6%84%9F%E5%99%A8&amp;zhida_source=entity" \t "https://zhuanlan.zhihu.com/p/_blank" </w:instrText>
      </w:r>
      <w:r>
        <w:rPr>
          <w:rFonts w:hint="eastAsia" w:ascii="宋体" w:hAnsi="宋体" w:eastAsia="宋体" w:cs="宋体"/>
        </w:rPr>
        <w:fldChar w:fldCharType="separate"/>
      </w:r>
      <w:r>
        <w:rPr>
          <w:rStyle w:val="10"/>
          <w:rFonts w:hint="eastAsia" w:ascii="宋体" w:hAnsi="宋体" w:eastAsia="宋体" w:cs="宋体"/>
          <w:i w:val="0"/>
          <w:iCs w:val="0"/>
          <w:caps w:val="0"/>
          <w:color w:val="auto"/>
          <w:spacing w:val="0"/>
          <w:szCs w:val="27"/>
          <w:u w:val="none"/>
          <w:shd w:val="clear" w:fill="FFFFFF"/>
        </w:rPr>
        <w:t>拉压力传感器</w:t>
      </w:r>
      <w:r>
        <w:rPr>
          <w:rFonts w:hint="eastAsia" w:ascii="宋体" w:hAnsi="宋体" w:eastAsia="宋体" w:cs="宋体"/>
        </w:rPr>
        <w:fldChar w:fldCharType="end"/>
      </w:r>
      <w:r>
        <w:rPr>
          <w:rFonts w:hint="eastAsia" w:ascii="宋体" w:hAnsi="宋体" w:eastAsia="宋体" w:cs="宋体"/>
        </w:rPr>
        <w:t>(称重传感器系列)又被称为电阻</w:t>
      </w:r>
      <w:r>
        <w:rPr>
          <w:rFonts w:hint="eastAsia" w:ascii="宋体" w:hAnsi="宋体" w:eastAsia="宋体" w:cs="宋体"/>
        </w:rPr>
        <w:fldChar w:fldCharType="begin"/>
      </w:r>
      <w:r>
        <w:rPr>
          <w:rFonts w:hint="eastAsia" w:ascii="宋体" w:hAnsi="宋体" w:eastAsia="宋体" w:cs="宋体"/>
        </w:rPr>
        <w:instrText xml:space="preserve"> HYPERLINK "https://zhida.zhihu.com/search?content_id=231036999&amp;content_type=Article&amp;match_order=1&amp;q=%E5%BA%94%E5%8F%98%E5%BC%8F%E4%BC%A0%E6%84%9F%E5%99%A8&amp;zhida_source=entity" \t "https://zhuanlan.zhihu.com/p/_blank" </w:instrText>
      </w:r>
      <w:r>
        <w:rPr>
          <w:rFonts w:hint="eastAsia" w:ascii="宋体" w:hAnsi="宋体" w:eastAsia="宋体" w:cs="宋体"/>
        </w:rPr>
        <w:fldChar w:fldCharType="separate"/>
      </w:r>
      <w:r>
        <w:rPr>
          <w:rStyle w:val="10"/>
          <w:rFonts w:hint="eastAsia" w:ascii="宋体" w:hAnsi="宋体" w:eastAsia="宋体" w:cs="宋体"/>
          <w:i w:val="0"/>
          <w:iCs w:val="0"/>
          <w:caps w:val="0"/>
          <w:color w:val="auto"/>
          <w:spacing w:val="0"/>
          <w:szCs w:val="27"/>
          <w:u w:val="none"/>
          <w:shd w:val="clear" w:fill="FFFFFF"/>
        </w:rPr>
        <w:t>应变式传感器</w:t>
      </w:r>
      <w:r>
        <w:rPr>
          <w:rFonts w:hint="eastAsia" w:ascii="宋体" w:hAnsi="宋体" w:eastAsia="宋体" w:cs="宋体"/>
        </w:rPr>
        <w:fldChar w:fldCharType="end"/>
      </w:r>
      <w:r>
        <w:rPr>
          <w:rFonts w:hint="eastAsia" w:ascii="宋体" w:hAnsi="宋体" w:eastAsia="宋体" w:cs="宋体"/>
        </w:rPr>
        <w:t>,将物理灯号转变为可测量的电</w:t>
      </w:r>
      <w:r>
        <w:rPr>
          <w:rFonts w:hint="eastAsia" w:ascii="宋体" w:hAnsi="宋体" w:cs="宋体"/>
          <w:lang w:val="en-US" w:eastAsia="zh-CN"/>
        </w:rPr>
        <w:t>信</w:t>
      </w:r>
      <w:r>
        <w:rPr>
          <w:rFonts w:hint="eastAsia" w:ascii="宋体" w:hAnsi="宋体" w:eastAsia="宋体" w:cs="宋体"/>
        </w:rPr>
        <w:t>号并输出。拉压力传感器的使用宽泛，在工业称重体系、配料秤、电子秤、领域秤、吊钩秤等通过检验压力的测力场所到处可见其身影。</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拉压两用，测量方便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合金钢材质，防腐耐用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标准螺丝孔位，方便安装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S型梁体结构，输出对称性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高精度应变片，测量精度高，稳定性好</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default" w:ascii="黑体" w:hAnsi="黑体" w:eastAsia="黑体" w:cs="黑体"/>
          <w:b/>
          <w:bCs/>
          <w:sz w:val="30"/>
          <w:szCs w:val="30"/>
          <w:lang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cs="宋体"/>
          <w:lang w:val="en-US" w:eastAsia="zh-CN"/>
        </w:rPr>
      </w:pPr>
      <w:r>
        <w:rPr>
          <w:rFonts w:hint="eastAsia" w:ascii="宋体" w:hAnsi="宋体" w:cs="宋体"/>
          <w:lang w:val="en-US" w:eastAsia="zh-CN"/>
        </w:rPr>
        <w:t>拉压力传感器根据材料特性设计出合适的结构，一般采用</w:t>
      </w:r>
      <w:r>
        <w:rPr>
          <w:rFonts w:hint="eastAsia" w:ascii="宋体" w:hAnsi="宋体" w:cs="宋体"/>
          <w:lang w:val="en-US" w:eastAsia="zh-CN"/>
        </w:rPr>
        <w:fldChar w:fldCharType="begin"/>
      </w:r>
      <w:r>
        <w:rPr>
          <w:rFonts w:hint="eastAsia" w:ascii="宋体" w:hAnsi="宋体" w:cs="宋体"/>
          <w:lang w:val="en-US" w:eastAsia="zh-CN"/>
        </w:rPr>
        <w:instrText xml:space="preserve"> HYPERLINK "https://www.eefocus.com/baike/503399.html" \t "https://www.eefocus.com/baike/_blank" </w:instrText>
      </w:r>
      <w:r>
        <w:rPr>
          <w:rFonts w:hint="eastAsia" w:ascii="宋体" w:hAnsi="宋体" w:cs="宋体"/>
          <w:lang w:val="en-US" w:eastAsia="zh-CN"/>
        </w:rPr>
        <w:fldChar w:fldCharType="separate"/>
      </w:r>
      <w:r>
        <w:rPr>
          <w:rFonts w:hint="eastAsia" w:ascii="宋体" w:hAnsi="宋体" w:cs="宋体"/>
          <w:lang w:val="en-US" w:eastAsia="zh-CN"/>
        </w:rPr>
        <w:t>电阻应变式传感器</w:t>
      </w:r>
      <w:r>
        <w:rPr>
          <w:rFonts w:hint="eastAsia" w:ascii="宋体" w:hAnsi="宋体" w:cs="宋体"/>
          <w:lang w:val="en-US" w:eastAsia="zh-CN"/>
        </w:rPr>
        <w:fldChar w:fldCharType="end"/>
      </w:r>
      <w:r>
        <w:rPr>
          <w:rFonts w:hint="eastAsia" w:ascii="宋体" w:hAnsi="宋体" w:cs="宋体"/>
          <w:lang w:val="en-US" w:eastAsia="zh-CN"/>
        </w:rPr>
        <w:t>。其原理是利用灵敏的薄膜材料作为</w:t>
      </w:r>
      <w:r>
        <w:rPr>
          <w:rFonts w:hint="eastAsia" w:ascii="宋体" w:hAnsi="宋体" w:cs="宋体"/>
          <w:lang w:val="en-US" w:eastAsia="zh-CN"/>
        </w:rPr>
        <w:fldChar w:fldCharType="begin"/>
      </w:r>
      <w:r>
        <w:rPr>
          <w:rFonts w:hint="eastAsia" w:ascii="宋体" w:hAnsi="宋体" w:cs="宋体"/>
          <w:lang w:val="en-US" w:eastAsia="zh-CN"/>
        </w:rPr>
        <w:instrText xml:space="preserve"> HYPERLINK "https://www.eefocus.com/baike/1591024.html" \t "https://www.eefocus.com/baike/_blank" </w:instrText>
      </w:r>
      <w:r>
        <w:rPr>
          <w:rFonts w:hint="eastAsia" w:ascii="宋体" w:hAnsi="宋体" w:cs="宋体"/>
          <w:lang w:val="en-US" w:eastAsia="zh-CN"/>
        </w:rPr>
        <w:fldChar w:fldCharType="separate"/>
      </w:r>
      <w:r>
        <w:rPr>
          <w:rFonts w:hint="eastAsia" w:ascii="宋体" w:hAnsi="宋体" w:cs="宋体"/>
          <w:lang w:val="en-US" w:eastAsia="zh-CN"/>
        </w:rPr>
        <w:t>敏感元件</w:t>
      </w:r>
      <w:r>
        <w:rPr>
          <w:rFonts w:hint="eastAsia" w:ascii="宋体" w:hAnsi="宋体" w:cs="宋体"/>
          <w:lang w:val="en-US" w:eastAsia="zh-CN"/>
        </w:rPr>
        <w:fldChar w:fldCharType="end"/>
      </w:r>
      <w:r>
        <w:rPr>
          <w:rFonts w:hint="eastAsia" w:ascii="宋体" w:hAnsi="宋体" w:cs="宋体"/>
          <w:lang w:val="en-US" w:eastAsia="zh-CN"/>
        </w:rPr>
        <w:t>，当承受来自外界的力后，从而产生形变，从而引起其阻值的变化，采用电桥原理来检测这个阻值的变化，最终转化为电信号。</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广泛应用于皮带秤、料斗秤、机电结合秤、万能材料测试机、吊钩秤及各种工程装置的测力系统</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参数名称</w:t>
            </w:r>
          </w:p>
        </w:tc>
        <w:tc>
          <w:tcPr>
            <w:tcW w:w="4261" w:type="dxa"/>
          </w:tcPr>
          <w:p>
            <w:pPr>
              <w:bidi w:val="0"/>
              <w:rPr>
                <w:rFonts w:hint="default"/>
                <w:lang w:eastAsia="zh-CN"/>
              </w:rPr>
            </w:pPr>
            <w:r>
              <w:rPr>
                <w:rFonts w:hint="default"/>
                <w:lang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额定量程</w:t>
            </w:r>
          </w:p>
        </w:tc>
        <w:tc>
          <w:tcPr>
            <w:tcW w:w="4261" w:type="dxa"/>
          </w:tcPr>
          <w:p>
            <w:pPr>
              <w:bidi w:val="0"/>
              <w:rPr>
                <w:rFonts w:hint="default"/>
                <w:lang w:val="en-US" w:eastAsia="zh-CN"/>
              </w:rPr>
            </w:pPr>
            <w:r>
              <w:rPr>
                <w:rFonts w:hint="eastAsia"/>
                <w:lang w:val="en-US" w:eastAsia="zh-CN"/>
              </w:rPr>
              <w:t>100kg-2T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输出灵敏度</w:t>
            </w:r>
          </w:p>
        </w:tc>
        <w:tc>
          <w:tcPr>
            <w:tcW w:w="4261" w:type="dxa"/>
          </w:tcPr>
          <w:p>
            <w:pPr>
              <w:bidi w:val="0"/>
              <w:rPr>
                <w:rFonts w:hint="default"/>
                <w:lang w:val="en-US" w:eastAsia="zh-CN"/>
              </w:rPr>
            </w:pPr>
            <w:r>
              <w:rPr>
                <w:rFonts w:hint="eastAsia"/>
                <w:lang w:val="en-US" w:eastAsia="zh-CN"/>
              </w:rPr>
              <w:t>2.0±10% mv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非线性</w:t>
            </w:r>
          </w:p>
        </w:tc>
        <w:tc>
          <w:tcPr>
            <w:tcW w:w="4261" w:type="dxa"/>
          </w:tcPr>
          <w:p>
            <w:pPr>
              <w:bidi w:val="0"/>
              <w:rPr>
                <w:rFonts w:hint="default"/>
                <w:lang w:val="en-US" w:eastAsia="zh-CN"/>
              </w:rPr>
            </w:pPr>
            <w:r>
              <w:rPr>
                <w:rFonts w:hint="eastAsia"/>
                <w:lang w:val="en-US" w:eastAsia="zh-CN"/>
              </w:rPr>
              <w:t>0.03 %F.S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滞后性</w:t>
            </w:r>
          </w:p>
        </w:tc>
        <w:tc>
          <w:tcPr>
            <w:tcW w:w="4261" w:type="dxa"/>
          </w:tcPr>
          <w:p>
            <w:pPr>
              <w:bidi w:val="0"/>
              <w:rPr>
                <w:rFonts w:hint="default"/>
                <w:lang w:val="en-US" w:eastAsia="zh-CN"/>
              </w:rPr>
            </w:pPr>
            <w:r>
              <w:rPr>
                <w:rFonts w:hint="eastAsia"/>
                <w:lang w:val="en-US" w:eastAsia="zh-CN"/>
              </w:rPr>
              <w:t>0.03 %F.S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eastAsia="zh-CN"/>
              </w:rPr>
            </w:pPr>
            <w:r>
              <w:rPr>
                <w:rFonts w:hint="default"/>
                <w:lang w:eastAsia="zh-CN"/>
              </w:rPr>
              <w:t>重复性</w:t>
            </w:r>
          </w:p>
        </w:tc>
        <w:tc>
          <w:tcPr>
            <w:tcW w:w="4261" w:type="dxa"/>
          </w:tcPr>
          <w:p>
            <w:pPr>
              <w:bidi w:val="0"/>
              <w:rPr>
                <w:rFonts w:hint="default"/>
                <w:lang w:val="en-US" w:eastAsia="zh-CN"/>
              </w:rPr>
            </w:pPr>
            <w:r>
              <w:rPr>
                <w:rFonts w:hint="eastAsia"/>
                <w:lang w:val="en-US" w:eastAsia="zh-CN"/>
              </w:rPr>
              <w:t>0.03 %F.S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响应频率</w:t>
            </w:r>
          </w:p>
        </w:tc>
        <w:tc>
          <w:tcPr>
            <w:tcW w:w="4261" w:type="dxa"/>
          </w:tcPr>
          <w:p>
            <w:pPr>
              <w:bidi w:val="0"/>
              <w:rPr>
                <w:rFonts w:hint="default"/>
                <w:lang w:val="en-US" w:eastAsia="zh-CN"/>
              </w:rPr>
            </w:pPr>
            <w:r>
              <w:rPr>
                <w:rFonts w:hint="eastAsia"/>
                <w:lang w:val="en-US" w:eastAsia="zh-CN"/>
              </w:rPr>
              <w:t>1k 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3.3V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工作温度范围</w:t>
            </w:r>
          </w:p>
        </w:tc>
        <w:tc>
          <w:tcPr>
            <w:tcW w:w="4261" w:type="dxa"/>
          </w:tcPr>
          <w:p>
            <w:pPr>
              <w:bidi w:val="0"/>
              <w:rPr>
                <w:rFonts w:hint="default"/>
                <w:lang w:val="en-US" w:eastAsia="zh-CN"/>
              </w:rPr>
            </w:pPr>
            <w:r>
              <w:rPr>
                <w:rFonts w:hint="eastAsia"/>
                <w:lang w:val="en-US" w:eastAsia="zh-CN"/>
              </w:rPr>
              <w:t>-20~80℃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安全过载</w:t>
            </w:r>
          </w:p>
        </w:tc>
        <w:tc>
          <w:tcPr>
            <w:tcW w:w="4261" w:type="dxa"/>
          </w:tcPr>
          <w:p>
            <w:pPr>
              <w:bidi w:val="0"/>
              <w:rPr>
                <w:rFonts w:hint="default"/>
                <w:lang w:val="en-US" w:eastAsia="zh-CN"/>
              </w:rPr>
            </w:pPr>
            <w:r>
              <w:rPr>
                <w:rFonts w:hint="eastAsia"/>
                <w:lang w:val="en-US" w:eastAsia="zh-CN"/>
              </w:rPr>
              <w:t>150%R.C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极限过载</w:t>
            </w:r>
          </w:p>
        </w:tc>
        <w:tc>
          <w:tcPr>
            <w:tcW w:w="4261" w:type="dxa"/>
          </w:tcPr>
          <w:p>
            <w:pPr>
              <w:bidi w:val="0"/>
              <w:rPr>
                <w:rFonts w:hint="default"/>
                <w:lang w:val="en-US" w:eastAsia="zh-CN"/>
              </w:rPr>
            </w:pPr>
            <w:r>
              <w:rPr>
                <w:rFonts w:hint="eastAsia"/>
                <w:lang w:val="en-US" w:eastAsia="zh-CN"/>
              </w:rPr>
              <w:t>200%R.C</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1822450" cy="1724025"/>
            <wp:effectExtent l="0" t="0" r="6350" b="9525"/>
            <wp:docPr id="5" name="图片 5" descr="20938178102_160422534441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938178102_160422534441_5"/>
                    <pic:cNvPicPr>
                      <a:picLocks noChangeAspect="1"/>
                    </pic:cNvPicPr>
                  </pic:nvPicPr>
                  <pic:blipFill>
                    <a:blip r:embed="rId5"/>
                    <a:srcRect l="7840" t="21953" r="27782" b="17136"/>
                    <a:stretch>
                      <a:fillRect/>
                    </a:stretch>
                  </pic:blipFill>
                  <pic:spPr>
                    <a:xfrm>
                      <a:off x="0" y="0"/>
                      <a:ext cx="1822450" cy="172402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1798320" cy="1683385"/>
            <wp:effectExtent l="0" t="0" r="11430" b="12065"/>
            <wp:docPr id="4" name="图片 4" descr="20938178102_160422510758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938178102_160422510758_2"/>
                    <pic:cNvPicPr>
                      <a:picLocks noChangeAspect="1"/>
                    </pic:cNvPicPr>
                  </pic:nvPicPr>
                  <pic:blipFill>
                    <a:blip r:embed="rId6"/>
                    <a:srcRect l="26264" t="21953" r="9429" b="17859"/>
                    <a:stretch>
                      <a:fillRect/>
                    </a:stretch>
                  </pic:blipFill>
                  <pic:spPr>
                    <a:xfrm>
                      <a:off x="0" y="0"/>
                      <a:ext cx="1798320" cy="168338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058035" cy="1795780"/>
            <wp:effectExtent l="0" t="0" r="18415" b="13970"/>
            <wp:docPr id="6" name="图片 6" descr="20938178102_16042251650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938178102_160422516507_1"/>
                    <pic:cNvPicPr>
                      <a:picLocks noChangeAspect="1"/>
                    </pic:cNvPicPr>
                  </pic:nvPicPr>
                  <pic:blipFill>
                    <a:blip r:embed="rId7"/>
                    <a:srcRect l="2782" t="18654" r="24603" b="18003"/>
                    <a:stretch>
                      <a:fillRect/>
                    </a:stretch>
                  </pic:blipFill>
                  <pic:spPr>
                    <a:xfrm>
                      <a:off x="0" y="0"/>
                      <a:ext cx="2058035" cy="179578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1711325" cy="1790065"/>
            <wp:effectExtent l="0" t="0" r="3175" b="635"/>
            <wp:docPr id="7" name="图片 7" descr="20938178102_160422449663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938178102_160422449663_3"/>
                    <pic:cNvPicPr>
                      <a:picLocks noChangeAspect="1"/>
                    </pic:cNvPicPr>
                  </pic:nvPicPr>
                  <pic:blipFill>
                    <a:blip r:embed="rId8"/>
                    <a:srcRect l="16329" t="20906" r="18750" b="11199"/>
                    <a:stretch>
                      <a:fillRect/>
                    </a:stretch>
                  </pic:blipFill>
                  <pic:spPr>
                    <a:xfrm>
                      <a:off x="0" y="0"/>
                      <a:ext cx="1711325" cy="179006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ascii="黑体" w:hAnsi="黑体" w:eastAsia="黑体" w:cs="黑体"/>
          <w:b/>
          <w:bCs/>
          <w:sz w:val="30"/>
          <w:szCs w:val="30"/>
          <w:lang w:val="en-US" w:eastAsia="zh-CN"/>
        </w:rPr>
      </w:pPr>
      <w:r>
        <w:drawing>
          <wp:inline distT="0" distB="0" distL="114300" distR="114300">
            <wp:extent cx="4921250" cy="3263900"/>
            <wp:effectExtent l="0" t="0" r="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clrChange>
                        <a:clrFrom>
                          <a:srgbClr val="FFFFFF">
                            <a:alpha val="100000"/>
                          </a:srgbClr>
                        </a:clrFrom>
                        <a:clrTo>
                          <a:srgbClr val="FFFFFF">
                            <a:alpha val="100000"/>
                            <a:alpha val="0"/>
                          </a:srgbClr>
                        </a:clrTo>
                      </a:clrChange>
                    </a:blip>
                    <a:stretch>
                      <a:fillRect/>
                    </a:stretch>
                  </pic:blipFill>
                  <pic:spPr>
                    <a:xfrm>
                      <a:off x="0" y="0"/>
                      <a:ext cx="4921250" cy="326390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接线说明</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原始信号接线</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inline distT="0" distB="0" distL="114300" distR="114300">
            <wp:extent cx="5268595" cy="72453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0">
                      <a:clrChange>
                        <a:clrFrom>
                          <a:srgbClr val="FFFFFF">
                            <a:alpha val="100000"/>
                          </a:srgbClr>
                        </a:clrFrom>
                        <a:clrTo>
                          <a:srgbClr val="FFFFFF">
                            <a:alpha val="100000"/>
                            <a:alpha val="0"/>
                          </a:srgbClr>
                        </a:clrTo>
                      </a:clrChange>
                    </a:blip>
                    <a:srcRect t="22076" b="24331"/>
                    <a:stretch>
                      <a:fillRect/>
                    </a:stretch>
                  </pic:blipFill>
                  <pic:spPr>
                    <a:xfrm>
                      <a:off x="0" y="0"/>
                      <a:ext cx="5268595" cy="7245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191510" cy="2250440"/>
            <wp:effectExtent l="0" t="0" r="0" b="1651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1">
                      <a:clrChange>
                        <a:clrFrom>
                          <a:srgbClr val="FFFFFF">
                            <a:alpha val="100000"/>
                          </a:srgbClr>
                        </a:clrFrom>
                        <a:clrTo>
                          <a:srgbClr val="FFFFFF">
                            <a:alpha val="100000"/>
                            <a:alpha val="0"/>
                          </a:srgbClr>
                        </a:clrTo>
                      </a:clrChange>
                    </a:blip>
                    <a:stretch>
                      <a:fillRect/>
                    </a:stretch>
                  </pic:blipFill>
                  <pic:spPr>
                    <a:xfrm>
                      <a:off x="0" y="0"/>
                      <a:ext cx="3191510" cy="2250440"/>
                    </a:xfrm>
                    <a:prstGeom prst="rect">
                      <a:avLst/>
                    </a:prstGeom>
                    <a:noFill/>
                    <a:ln>
                      <a:noFill/>
                    </a:ln>
                  </pic:spPr>
                </pic:pic>
              </a:graphicData>
            </a:graphic>
          </wp:inline>
        </w:drawing>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颜色</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名称</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红色</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激励﹢</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设备供电电源端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黄色</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信号+</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信号输出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绿色</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激励-</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设备供电地段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蓝色</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eastAsia="宋体"/>
                <w:vertAlign w:val="baseline"/>
                <w:lang w:val="en-US" w:eastAsia="zh-CN"/>
              </w:rPr>
            </w:pPr>
            <w:r>
              <w:rPr>
                <w:rFonts w:hint="eastAsia"/>
                <w:vertAlign w:val="baseline"/>
                <w:lang w:val="en-US" w:eastAsia="zh-CN"/>
              </w:rPr>
              <w:t>信号-</w:t>
            </w:r>
          </w:p>
        </w:tc>
        <w:tc>
          <w:tcPr>
            <w:tcW w:w="2841" w:type="dxa"/>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eastAsia="宋体"/>
                <w:vertAlign w:val="baseline"/>
                <w:lang w:val="en-US" w:eastAsia="zh-CN"/>
              </w:rPr>
            </w:pPr>
            <w:r>
              <w:rPr>
                <w:rFonts w:hint="eastAsia"/>
                <w:vertAlign w:val="baseline"/>
                <w:lang w:val="en-US" w:eastAsia="zh-CN"/>
              </w:rPr>
              <w:t>信号输出</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安装方法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根据所需工作环境来选定合适的传感器量程以及确定所用传感器的额定载荷，称重传感器虽然本身具备一定的过载能力，但在安装和使用过程中应尽量避免此种情况。有时短时间的超载，也可能会造成传感器永久损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称重传感器要轻拿轻放，尤其对于用合金铝材料作为弹性体的小容量传感器，任何振动造成的冲击或者跌落，都很有可能造成很大的输出误差。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安装前按说明书要求接线，具体请按说明书接线，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传感器外壳、保护盖板、引线接头均经密封处理，不可随意打开，电缆线不宜自行加长，因为传感器电缆线在出厂时按输出电阻值调整过，自行加长或减短会影响到传感器输出电阻，为影响整个传感器精度，如果实在确实需加长时应在接头处锡焊，并加防潮密封胶，重新加电阻进行调整达到出厂时的默认输出电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传感器的电缆线应远离强动力电源线或有脉冲波的场所，这样可以减少现场干扰源对传感器信号输出，减少误差，提高精度。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在高度精度使用场合，应使拉力传感器和仪表在预热30分钟后使用。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购买传感器作为备件时，应将称重传感器放在干燥通风无腐蚀性气体的室内储存。</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按其说明中的称重传感器量程选定来确定所用传感器的额定载荷，称重传感器虽然本身具备一定的过载能力，但在安装和使用过程中应尽量避免此种情况。有时短时间的超载，也可能会造成传感器长久损坏。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在高度精度使用场合，应使/称重传感器和仪表在预热30分钟后使用。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S型称重传感器要轻拿轻放，尤其对于用合金铝材料作为弹性体的小容量传感器，任何振动造成的冲击或者跌落，都很有可能造成很大的输出误差。比如，悬臂梁式称重传感器有些就是用铝做的。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设计加载装置及安装时应保证加载力的作用称重传感器受力轴线重合，使倾斜负荷和偏心负荷的影响减至相当小，尤其是在板环式称重传感器的应用上，应该注意拉力的方向和其受力方向平行;</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按照其说明中称重传感器的量程选定来确定所用传感器的额定载荷。</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为防止化学腐蚀.安装时宜用凡士林涂称重传感器外表面。应避免阳光直晒和环境温度剧变的场台使用。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在称重传感器加载装置两端加接铜编织线做的旁路器。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水平调整方面。如果使用的是称重传感器的话，其底座的安装平面要使用水平仪调整直到水平;如果是多个传感器同时测量的情况，那么它们底座的安装面要尽量保持在一个水平面上，这样做的目的主要是为了保证每个传感器所承受的力量基本一致。用桥式称重传感器来组成的台秤或者地磅秤均需要考虑这一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电缆线不宜自行加长，在确实需加长时应在接头处锡焊，并加防潮密封胶。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在S型称重传感器周围相当好采用一些挡板把传感器罩起来。这样做的目的可防止杂物掉进传感器的运动部分，影响其测量精度。</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产品读数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本款产品为原始信号输出mv级别的电压信号，需要外接信号放大器或信号转接板来读取数据</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产品选型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1403"/>
        <w:gridCol w:w="202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bidi w:val="0"/>
              <w:rPr>
                <w:rFonts w:hint="default"/>
                <w:lang w:val="en-US" w:eastAsia="zh-CN"/>
              </w:rPr>
            </w:pPr>
            <w:r>
              <w:rPr>
                <w:rFonts w:hint="eastAsia"/>
                <w:lang w:val="en-US" w:eastAsia="zh-CN"/>
              </w:rPr>
              <w:t>名称</w:t>
            </w:r>
          </w:p>
        </w:tc>
        <w:tc>
          <w:tcPr>
            <w:tcW w:w="0" w:type="auto"/>
            <w:gridSpan w:val="3"/>
          </w:tcPr>
          <w:p>
            <w:pPr>
              <w:bidi w:val="0"/>
              <w:rPr>
                <w:rFonts w:hint="default"/>
                <w:lang w:val="en-US" w:eastAsia="zh-CN"/>
              </w:rPr>
            </w:pPr>
            <w:r>
              <w:rPr>
                <w:rFonts w:hint="eastAsia"/>
                <w:lang w:val="en-US" w:eastAsia="zh-CN"/>
              </w:rPr>
              <w:t>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bidi w:val="0"/>
              <w:rPr>
                <w:rFonts w:hint="default"/>
                <w:lang w:val="en-US" w:eastAsia="zh-CN"/>
              </w:rPr>
            </w:pPr>
            <w:r>
              <w:rPr>
                <w:rFonts w:hint="eastAsia"/>
                <w:lang w:val="en-US" w:eastAsia="zh-CN"/>
              </w:rPr>
              <w:t>精讯畅通应力计系列</w:t>
            </w:r>
          </w:p>
        </w:tc>
        <w:tc>
          <w:tcPr>
            <w:tcW w:w="0" w:type="auto"/>
            <w:gridSpan w:val="3"/>
          </w:tcPr>
          <w:p>
            <w:pPr>
              <w:bidi w:val="0"/>
              <w:rPr>
                <w:rFonts w:hint="default"/>
                <w:lang w:val="en-US" w:eastAsia="zh-CN"/>
              </w:rPr>
            </w:pPr>
            <w:r>
              <w:rPr>
                <w:rFonts w:hint="eastAsia"/>
                <w:lang w:val="en-US" w:eastAsia="zh-CN"/>
              </w:rPr>
              <w:t>JXSG-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bidi w:val="0"/>
              <w:rPr>
                <w:rFonts w:hint="default"/>
                <w:lang w:val="en-US" w:eastAsia="zh-CN"/>
              </w:rPr>
            </w:pPr>
            <w:r>
              <w:rPr>
                <w:rFonts w:hint="eastAsia"/>
                <w:lang w:val="en-US" w:eastAsia="zh-CN"/>
              </w:rPr>
              <w:t>输出信号</w:t>
            </w:r>
          </w:p>
        </w:tc>
        <w:tc>
          <w:tcPr>
            <w:tcW w:w="0" w:type="auto"/>
          </w:tcPr>
          <w:p>
            <w:pPr>
              <w:bidi w:val="0"/>
              <w:rPr>
                <w:rFonts w:hint="default"/>
                <w:lang w:val="en-US" w:eastAsia="zh-CN"/>
              </w:rPr>
            </w:pPr>
            <w:r>
              <w:rPr>
                <w:rFonts w:hint="eastAsia"/>
                <w:lang w:val="en-US" w:eastAsia="zh-CN"/>
              </w:rPr>
              <w:t>Y-原始信号</w:t>
            </w:r>
          </w:p>
        </w:tc>
        <w:tc>
          <w:tcPr>
            <w:tcW w:w="0" w:type="auto"/>
          </w:tcPr>
          <w:p>
            <w:pPr>
              <w:bidi w:val="0"/>
              <w:rPr>
                <w:rFonts w:hint="default"/>
                <w:lang w:val="en-US" w:eastAsia="zh-CN"/>
              </w:rPr>
            </w:pPr>
            <w:r>
              <w:rPr>
                <w:rFonts w:hint="eastAsia"/>
                <w:lang w:val="en-US" w:eastAsia="zh-CN"/>
              </w:rPr>
              <w:t>M-0~5v模拟信号</w:t>
            </w:r>
          </w:p>
          <w:p>
            <w:pPr>
              <w:bidi w:val="0"/>
              <w:rPr>
                <w:rFonts w:hint="default"/>
                <w:lang w:val="en-US" w:eastAsia="zh-CN"/>
              </w:rPr>
            </w:pPr>
          </w:p>
        </w:tc>
        <w:tc>
          <w:tcPr>
            <w:tcW w:w="0" w:type="auto"/>
          </w:tcPr>
          <w:p>
            <w:pPr>
              <w:bidi w:val="0"/>
              <w:rPr>
                <w:rFonts w:hint="default"/>
                <w:lang w:val="en-US" w:eastAsia="zh-CN"/>
              </w:rPr>
            </w:pPr>
            <w:r>
              <w:rPr>
                <w:rFonts w:hint="eastAsia"/>
                <w:lang w:val="en-US" w:eastAsia="zh-CN"/>
              </w:rPr>
              <w:t>R-RS485信号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bidi w:val="0"/>
              <w:rPr>
                <w:rFonts w:hint="default"/>
                <w:lang w:val="en-US" w:eastAsia="zh-CN"/>
              </w:rPr>
            </w:pPr>
            <w:r>
              <w:rPr>
                <w:rFonts w:hint="eastAsia"/>
                <w:lang w:val="en-US" w:eastAsia="zh-CN"/>
              </w:rPr>
              <w:t>结构型号</w:t>
            </w:r>
          </w:p>
        </w:tc>
        <w:tc>
          <w:tcPr>
            <w:tcW w:w="0" w:type="auto"/>
            <w:gridSpan w:val="3"/>
          </w:tcPr>
          <w:p>
            <w:pPr>
              <w:bidi w:val="0"/>
              <w:rPr>
                <w:rFonts w:hint="default"/>
                <w:lang w:val="en-US" w:eastAsia="zh-CN"/>
              </w:rPr>
            </w:pPr>
            <w:r>
              <w:rPr>
                <w:rFonts w:hint="eastAsia"/>
                <w:lang w:val="en-US" w:eastAsia="zh-CN"/>
              </w:rPr>
              <w:t>-S S型应力计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bidi w:val="0"/>
              <w:rPr>
                <w:rFonts w:hint="default"/>
                <w:lang w:val="en-US" w:eastAsia="zh-CN"/>
              </w:rPr>
            </w:pPr>
            <w:r>
              <w:rPr>
                <w:rFonts w:hint="eastAsia"/>
                <w:lang w:val="en-US" w:eastAsia="zh-CN"/>
              </w:rPr>
              <w:t>量程</w:t>
            </w:r>
          </w:p>
        </w:tc>
        <w:tc>
          <w:tcPr>
            <w:tcW w:w="0" w:type="auto"/>
            <w:gridSpan w:val="3"/>
          </w:tcPr>
          <w:p>
            <w:pPr>
              <w:bidi w:val="0"/>
              <w:rPr>
                <w:rFonts w:hint="default"/>
                <w:lang w:val="en-US" w:eastAsia="zh-CN"/>
              </w:rPr>
            </w:pPr>
            <w:r>
              <w:rPr>
                <w:rFonts w:hint="eastAsia"/>
                <w:lang w:val="en-US" w:eastAsia="zh-CN"/>
              </w:rPr>
              <w:t>-X，X为额定载荷，单位为kg</w:t>
            </w:r>
          </w:p>
        </w:tc>
      </w:tr>
    </w:tbl>
    <w:p>
      <w:pPr>
        <w:widowControl w:val="0"/>
        <w:numPr>
          <w:ilvl w:val="0"/>
          <w:numId w:val="0"/>
        </w:numPr>
        <w:jc w:val="both"/>
        <w:rPr>
          <w:rFonts w:hint="default" w:ascii="黑体" w:hAnsi="黑体" w:eastAsia="黑体" w:cs="黑体"/>
          <w:b/>
          <w:bCs/>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D5874BB"/>
    <w:multiLevelType w:val="multilevel"/>
    <w:tmpl w:val="CD5874B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27EA124B"/>
    <w:multiLevelType w:val="singleLevel"/>
    <w:tmpl w:val="27EA124B"/>
    <w:lvl w:ilvl="0" w:tentative="0">
      <w:start w:val="1"/>
      <w:numFmt w:val="chineseCounting"/>
      <w:suff w:val="space"/>
      <w:lvlText w:val="第%1章"/>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b1ad1df5-5aae-4cf5-8ab6-e648dc52684c"/>
  </w:docVars>
  <w:rsids>
    <w:rsidRoot w:val="584A5A41"/>
    <w:rsid w:val="0506170D"/>
    <w:rsid w:val="0ACC1871"/>
    <w:rsid w:val="135909B1"/>
    <w:rsid w:val="14D7185D"/>
    <w:rsid w:val="15DF7B3C"/>
    <w:rsid w:val="16BC7865"/>
    <w:rsid w:val="22473F56"/>
    <w:rsid w:val="24945F95"/>
    <w:rsid w:val="2F6D5D61"/>
    <w:rsid w:val="3FA00D26"/>
    <w:rsid w:val="40664B58"/>
    <w:rsid w:val="4F963FCB"/>
    <w:rsid w:val="575E7C19"/>
    <w:rsid w:val="604B2B0A"/>
    <w:rsid w:val="6AE5258E"/>
    <w:rsid w:val="6DE35DF5"/>
    <w:rsid w:val="6EBF6980"/>
    <w:rsid w:val="783C022D"/>
    <w:rsid w:val="7D003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1661</Words>
  <Characters>1749</Characters>
  <Lines>0</Lines>
  <Paragraphs>0</Paragraphs>
  <TotalTime>12</TotalTime>
  <ScaleCrop>false</ScaleCrop>
  <LinksUpToDate>false</LinksUpToDate>
  <CharactersWithSpaces>1762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2024-10-21T05:31:00Z</dcterms:created>
  <dc:creator>fewevd</dc:creator>
  <cp:lastModifiedBy>fewevd</cp:lastModifiedBy>
  <dcterms:modified xsi:type="dcterms:W3CDTF">2024-11-26T02:14:56Z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A7B9542ED25142F2AB557B6186DDDB5D_11</vt:lpwstr>
  </property>
</Properties>
</file>