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ectPr>
          <w:pgSz w:w="11906" w:h="16838"/>
          <w:pgMar w:top="1440" w:right="1800" w:bottom="1440" w:left="1800" w:header="851" w:footer="992" w:gutter="0"/>
          <w:cols w:space="425" w:num="1"/>
          <w:docGrid w:type="lines" w:linePitch="312" w:charSpace="0"/>
        </w:sectPr>
      </w:pPr>
      <w:r>
        <w:rPr>
          <w:sz w:val="24"/>
        </w:rPr>
        <mc:AlternateContent>
          <mc:Choice Requires="wps">
            <w:drawing>
              <wp:anchor distT="0" distB="0" distL="114300" distR="114300" simplePos="0" relativeHeight="251660288" behindDoc="0" locked="0" layoutInCell="1" allowOverlap="1">
                <wp:simplePos x="0" y="0"/>
                <wp:positionH relativeFrom="column">
                  <wp:posOffset>-177165</wp:posOffset>
                </wp:positionH>
                <wp:positionV relativeFrom="paragraph">
                  <wp:posOffset>-55880</wp:posOffset>
                </wp:positionV>
                <wp:extent cx="6229350" cy="3533775"/>
                <wp:effectExtent l="0" t="0" r="0" b="0"/>
                <wp:wrapNone/>
                <wp:docPr id="2" name="文本框 2"/>
                <wp:cNvGraphicFramePr/>
                <a:graphic xmlns:a="http://schemas.openxmlformats.org/drawingml/2006/main">
                  <a:graphicData uri="http://schemas.microsoft.com/office/word/2010/wordprocessingShape">
                    <wps:wsp>
                      <wps:cNvSpPr txBox="1"/>
                      <wps:spPr>
                        <a:xfrm>
                          <a:off x="965835" y="858520"/>
                          <a:ext cx="6229350" cy="353377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振弦式土压力计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TYLJ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USF-CT</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13.95pt;margin-top:-4.4pt;height:278.25pt;width:490.5pt;z-index:251660288;mso-width-relative:page;mso-height-relative:page;" filled="f" stroked="f" coordsize="21600,21600" o:gfxdata="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WgUdltwAAAAKAQAADwAAAAAAAAAB&#10;ACAAAAAiAAAAZHJzL2Rvd25yZXYueG1sUEsBAhQAFAAAAAgAh07iQHeYLU9FAgAAcQQAAA4AAAAA&#10;AAAAAQAgAAAAKwEAAGRycy9lMm9Eb2MueG1sUEsFBgAAAAAGAAYAWQEAAOIFAAAAAA==&#10;">
                <v:fill on="f" focussize="0,0"/>
                <v:stroke on="f" weight="0.5pt"/>
                <v:imagedata o:title=""/>
                <o:lock v:ext="edit" aspectratio="f"/>
                <v:textbox>
                  <w:txbxContent>
                    <w:tbl>
                      <w:tblPr>
                        <w:tblStyle w:val="5"/>
                        <w:tblW w:w="0" w:type="auto"/>
                        <w:tblInd w:w="108" w:type="dxa"/>
                        <w:tblLayout w:type="fixed"/>
                        <w:tblCellMar>
                          <w:top w:w="0" w:type="dxa"/>
                          <w:left w:w="108" w:type="dxa"/>
                          <w:bottom w:w="0" w:type="dxa"/>
                          <w:right w:w="108" w:type="dxa"/>
                        </w:tblCellMar>
                      </w:tblPr>
                      <w:tblGrid>
                        <w:gridCol w:w="9680"/>
                      </w:tblGrid>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r>
                              <w:rPr>
                                <w:rFonts w:hint="eastAsia"/>
                                <w:b/>
                                <w:bCs/>
                                <w:sz w:val="72"/>
                                <w:szCs w:val="72"/>
                                <w:lang w:val="en-US" w:eastAsia="zh-CN"/>
                              </w:rPr>
                              <w:t>振弦式土压力计</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TYLJ</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rFonts w:hint="default" w:eastAsia="宋体"/>
                                <w:b/>
                                <w:bCs/>
                                <w:sz w:val="72"/>
                                <w:szCs w:val="72"/>
                                <w:lang w:val="en-US" w:eastAsia="zh-CN"/>
                              </w:rPr>
                            </w:pPr>
                          </w:p>
                        </w:tc>
                      </w:tr>
                      <w:tr>
                        <w:tblPrEx>
                          <w:tblCellMar>
                            <w:top w:w="0" w:type="dxa"/>
                            <w:left w:w="108" w:type="dxa"/>
                            <w:bottom w:w="0" w:type="dxa"/>
                            <w:right w:w="108" w:type="dxa"/>
                          </w:tblCellMar>
                        </w:tblPrEx>
                        <w:trPr>
                          <w:trHeight w:val="1723" w:hRule="atLeast"/>
                        </w:trPr>
                        <w:tc>
                          <w:tcPr>
                            <w:tcW w:w="9680" w:type="dxa"/>
                            <w:noWrap w:val="0"/>
                            <w:vAlign w:val="top"/>
                          </w:tcPr>
                          <w:p>
                            <w:pPr>
                              <w:jc w:val="center"/>
                              <w:rPr>
                                <w:b/>
                                <w:bCs/>
                                <w:sz w:val="72"/>
                                <w:szCs w:val="72"/>
                              </w:rPr>
                            </w:pPr>
                            <w:r>
                              <w:rPr>
                                <w:rFonts w:hint="eastAsia"/>
                                <w:b/>
                                <w:bCs/>
                                <w:sz w:val="72"/>
                                <w:szCs w:val="72"/>
                              </w:rPr>
                              <w:t>使用说明书</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default" w:eastAsia="宋体"/>
                                <w:b/>
                                <w:bCs/>
                                <w:sz w:val="44"/>
                                <w:szCs w:val="44"/>
                                <w:lang w:val="en-US" w:eastAsia="zh-CN"/>
                              </w:rPr>
                            </w:pPr>
                            <w:r>
                              <w:rPr>
                                <w:rFonts w:hint="eastAsia"/>
                                <w:b/>
                                <w:bCs/>
                                <w:sz w:val="44"/>
                                <w:szCs w:val="44"/>
                              </w:rPr>
                              <w:t>JXBS-</w:t>
                            </w:r>
                            <w:r>
                              <w:rPr>
                                <w:rFonts w:hint="eastAsia"/>
                                <w:b/>
                                <w:bCs/>
                                <w:sz w:val="44"/>
                                <w:szCs w:val="44"/>
                                <w:lang w:val="en-US" w:eastAsia="zh-CN"/>
                              </w:rPr>
                              <w:t>USF-CT</w:t>
                            </w:r>
                          </w:p>
                        </w:tc>
                      </w:tr>
                      <w:tr>
                        <w:tblPrEx>
                          <w:tblCellMar>
                            <w:top w:w="0" w:type="dxa"/>
                            <w:left w:w="108" w:type="dxa"/>
                            <w:bottom w:w="0" w:type="dxa"/>
                            <w:right w:w="108" w:type="dxa"/>
                          </w:tblCellMar>
                        </w:tblPrEx>
                        <w:trPr>
                          <w:trHeight w:val="932" w:hRule="atLeast"/>
                        </w:trPr>
                        <w:tc>
                          <w:tcPr>
                            <w:tcW w:w="9680" w:type="dxa"/>
                            <w:noWrap w:val="0"/>
                            <w:vAlign w:val="top"/>
                          </w:tcPr>
                          <w:p>
                            <w:pPr>
                              <w:jc w:val="right"/>
                              <w:rPr>
                                <w:rFonts w:hint="eastAsia" w:eastAsia="宋体"/>
                                <w:b/>
                                <w:bCs/>
                                <w:sz w:val="44"/>
                                <w:szCs w:val="44"/>
                                <w:lang w:eastAsia="zh-CN"/>
                              </w:rPr>
                            </w:pPr>
                            <w:r>
                              <w:rPr>
                                <w:rFonts w:hint="eastAsia"/>
                                <w:b/>
                                <w:bCs/>
                                <w:sz w:val="44"/>
                                <w:szCs w:val="44"/>
                              </w:rPr>
                              <w:t>Ver1.</w:t>
                            </w:r>
                            <w:r>
                              <w:rPr>
                                <w:rFonts w:hint="eastAsia"/>
                                <w:b/>
                                <w:bCs/>
                                <w:sz w:val="44"/>
                                <w:szCs w:val="44"/>
                                <w:lang w:val="en-US" w:eastAsia="zh-CN"/>
                              </w:rPr>
                              <w:t>0</w:t>
                            </w:r>
                          </w:p>
                        </w:tc>
                      </w:tr>
                    </w:tbl>
                    <w:p/>
                  </w:txbxContent>
                </v:textbox>
              </v:shape>
            </w:pict>
          </mc:Fallback>
        </mc:AlternateContent>
      </w:r>
      <w:r>
        <w:drawing>
          <wp:anchor distT="0" distB="0" distL="114300" distR="114300" simplePos="0" relativeHeight="251659264" behindDoc="1" locked="0" layoutInCell="1" allowOverlap="1">
            <wp:simplePos x="0" y="0"/>
            <wp:positionH relativeFrom="page">
              <wp:posOffset>-635</wp:posOffset>
            </wp:positionH>
            <wp:positionV relativeFrom="page">
              <wp:posOffset>-2540</wp:posOffset>
            </wp:positionV>
            <wp:extent cx="7566660" cy="10696575"/>
            <wp:effectExtent l="0" t="0" r="15240" b="9525"/>
            <wp:wrapNone/>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4"/>
                    <a:stretch>
                      <a:fillRect/>
                    </a:stretch>
                  </pic:blipFill>
                  <pic:spPr>
                    <a:xfrm>
                      <a:off x="0" y="0"/>
                      <a:ext cx="7566660" cy="10696575"/>
                    </a:xfrm>
                    <a:prstGeom prst="rect">
                      <a:avLst/>
                    </a:prstGeom>
                    <a:noFill/>
                    <a:ln>
                      <a:noFill/>
                    </a:ln>
                  </pic:spPr>
                </pic:pic>
              </a:graphicData>
            </a:graphic>
          </wp:anchor>
        </w:drawing>
      </w:r>
    </w:p>
    <w:p>
      <w:pPr>
        <w:numPr>
          <w:ilvl w:val="0"/>
          <w:numId w:val="2"/>
        </w:numP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振弦式土压力计（又称土压力盒）主要应用检测地下工程的施工如基坑或隧道开挖、盾构掘进、打桩等引起周围地层岩土压力变化的监测。地下结构承受的压力是直接作用在支护体系上的荷载，是支护结构的设计依据。施工期间对岩土压力进行监测，对于确保地下工程的安全至关重要。岩土压力采用埋设土压力计的方式进行监测，若加装温度传感器即可同步测量安装点的温度。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t>搭配我公司振弦式传感器采集器可实现对现场传感器实时数据进行采集并转换成对应物理量</w:t>
      </w:r>
      <w:r>
        <w:rPr>
          <w:rFonts w:hint="eastAsia"/>
          <w:lang w:eastAsia="zh-CN"/>
        </w:rPr>
        <w:t>。</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ascii="宋体" w:hAnsi="宋体" w:eastAsia="宋体" w:cs="宋体"/>
          <w:sz w:val="24"/>
          <w:szCs w:val="24"/>
        </w:rPr>
        <w:t xml:space="preserve">传感器分辨力高、抗干扰性能强；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hint="eastAsia" w:ascii="宋体" w:hAnsi="宋体" w:cs="宋体"/>
          <w:sz w:val="24"/>
          <w:szCs w:val="24"/>
          <w:lang w:val="en-US" w:eastAsia="zh-CN"/>
        </w:rPr>
        <w:t>防水耐腐蚀</w:t>
      </w:r>
      <w:r>
        <w:rPr>
          <w:rFonts w:ascii="宋体" w:hAnsi="宋体" w:eastAsia="宋体" w:cs="宋体"/>
          <w:sz w:val="24"/>
          <w:szCs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ascii="宋体" w:hAnsi="宋体" w:eastAsia="宋体" w:cs="宋体"/>
          <w:sz w:val="24"/>
          <w:szCs w:val="24"/>
        </w:rPr>
        <w:t xml:space="preserve">对集中载荷反应灵敏、测值可靠和稳定性好； 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hint="eastAsia" w:ascii="宋体" w:hAnsi="宋体" w:cs="宋体"/>
          <w:sz w:val="24"/>
          <w:szCs w:val="24"/>
          <w:lang w:val="en-US" w:eastAsia="zh-CN"/>
        </w:rPr>
        <w:t>压力、温度一体测量，方便使用</w:t>
      </w:r>
      <w:r>
        <w:rPr>
          <w:rFonts w:ascii="宋体" w:hAnsi="宋体" w:eastAsia="宋体" w:cs="宋体"/>
          <w:sz w:val="24"/>
          <w:szCs w:val="24"/>
        </w:rPr>
        <w:t xml:space="preserve">  </w:t>
      </w:r>
    </w:p>
    <w:p>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ascii="宋体" w:hAnsi="宋体" w:eastAsia="宋体" w:cs="宋体"/>
          <w:sz w:val="24"/>
          <w:szCs w:val="24"/>
        </w:rPr>
      </w:pPr>
      <w:r>
        <w:rPr>
          <w:rFonts w:ascii="宋体" w:hAnsi="宋体" w:eastAsia="宋体" w:cs="宋体"/>
          <w:sz w:val="24"/>
          <w:szCs w:val="24"/>
        </w:rPr>
        <w:t>搭配我公司振弦式传感器采集器可实现后台终端实时监测。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val="en-US" w:eastAsia="zh-CN"/>
        </w:rPr>
      </w:pPr>
      <w:r>
        <w:t>振弦式土压力计（又称土压力盒）是一种用于测量结构物内部应力的传感器， 工作原理是基于振动频率的变化来反映应力的变化。振弦式土压力计主要由振 弦、感应元件、信号放大器和数据处理系统等部分组成。</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产品用途</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jc w:val="both"/>
        <w:textAlignment w:val="auto"/>
        <w:rPr>
          <w:rFonts w:hint="eastAsia" w:ascii="宋体" w:hAnsi="宋体" w:cs="宋体"/>
          <w:sz w:val="24"/>
          <w:szCs w:val="24"/>
          <w:lang w:val="en-US" w:eastAsia="zh-CN"/>
        </w:rPr>
      </w:pPr>
      <w:r>
        <w:rPr>
          <w:rFonts w:hint="eastAsia" w:ascii="宋体" w:hAnsi="宋体" w:cs="宋体"/>
          <w:sz w:val="24"/>
          <w:szCs w:val="24"/>
          <w:lang w:val="en-US" w:eastAsia="zh-CN"/>
        </w:rPr>
        <w:t>适用于长期测量土石坝、土堤、边坡、路基等结构物内部土体压应力，是了解被测结构物内部土压力变化量的有效监测设备。</w:t>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产品参数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2.1 技术指标</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压力范围</w:t>
            </w:r>
          </w:p>
        </w:tc>
        <w:tc>
          <w:tcPr>
            <w:tcW w:w="4261" w:type="dxa"/>
          </w:tcPr>
          <w:p>
            <w:pPr>
              <w:bidi w:val="0"/>
              <w:rPr>
                <w:rFonts w:hint="default"/>
                <w:vertAlign w:val="baseline"/>
                <w:lang w:val="en-US" w:eastAsia="zh-CN"/>
              </w:rPr>
            </w:pPr>
            <w:r>
              <w:rPr>
                <w:rFonts w:hint="eastAsia"/>
                <w:vertAlign w:val="baseline"/>
                <w:lang w:val="en-US" w:eastAsia="zh-CN"/>
              </w:rPr>
              <w:t>0.2/0.4/0.6/0.8/1/2/6MPa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测温范围</w:t>
            </w:r>
          </w:p>
        </w:tc>
        <w:tc>
          <w:tcPr>
            <w:tcW w:w="4261" w:type="dxa"/>
          </w:tcPr>
          <w:p>
            <w:pPr>
              <w:bidi w:val="0"/>
              <w:rPr>
                <w:rFonts w:hint="default"/>
                <w:vertAlign w:val="baseline"/>
                <w:lang w:val="en-US" w:eastAsia="zh-CN"/>
              </w:rPr>
            </w:pPr>
            <w:r>
              <w:rPr>
                <w:rFonts w:hint="eastAsia"/>
                <w:vertAlign w:val="baseline"/>
                <w:lang w:val="en-US" w:eastAsia="zh-CN"/>
              </w:rPr>
              <w:t>-25~60℃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误差</w:t>
            </w:r>
          </w:p>
        </w:tc>
        <w:tc>
          <w:tcPr>
            <w:tcW w:w="4261" w:type="dxa"/>
          </w:tcPr>
          <w:p>
            <w:pPr>
              <w:bidi w:val="0"/>
              <w:rPr>
                <w:rFonts w:hint="default"/>
                <w:vertAlign w:val="baseline"/>
                <w:lang w:val="en-US" w:eastAsia="zh-CN"/>
              </w:rPr>
            </w:pPr>
            <w:r>
              <w:rPr>
                <w:rFonts w:hint="eastAsia"/>
                <w:vertAlign w:val="baseline"/>
                <w:lang w:val="en-US" w:eastAsia="zh-CN"/>
              </w:rPr>
              <w:t>≤2.5%F.S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分辨率</w:t>
            </w:r>
          </w:p>
        </w:tc>
        <w:tc>
          <w:tcPr>
            <w:tcW w:w="4261" w:type="dxa"/>
          </w:tcPr>
          <w:p>
            <w:pPr>
              <w:bidi w:val="0"/>
              <w:rPr>
                <w:rFonts w:hint="default"/>
                <w:vertAlign w:val="baseline"/>
                <w:lang w:val="en-US" w:eastAsia="zh-CN"/>
              </w:rPr>
            </w:pPr>
            <w:r>
              <w:rPr>
                <w:rFonts w:hint="eastAsia"/>
                <w:vertAlign w:val="baseline"/>
                <w:lang w:val="en-US" w:eastAsia="zh-CN"/>
              </w:rPr>
              <w:t>≤0.08%F.S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默认线长</w:t>
            </w:r>
          </w:p>
        </w:tc>
        <w:tc>
          <w:tcPr>
            <w:tcW w:w="4261" w:type="dxa"/>
          </w:tcPr>
          <w:p>
            <w:pPr>
              <w:bidi w:val="0"/>
              <w:rPr>
                <w:rFonts w:hint="default"/>
                <w:vertAlign w:val="baseline"/>
                <w:lang w:val="en-US" w:eastAsia="zh-CN"/>
              </w:rPr>
            </w:pPr>
            <w:r>
              <w:rPr>
                <w:rFonts w:hint="eastAsia"/>
                <w:vertAlign w:val="baseline"/>
                <w:lang w:val="en-US" w:eastAsia="zh-CN"/>
              </w:rPr>
              <w:t>2m（可定制）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非线性度</w:t>
            </w:r>
          </w:p>
        </w:tc>
        <w:tc>
          <w:tcPr>
            <w:tcW w:w="4261" w:type="dxa"/>
          </w:tcPr>
          <w:p>
            <w:pPr>
              <w:bidi w:val="0"/>
              <w:rPr>
                <w:rFonts w:hint="default"/>
                <w:vertAlign w:val="baseline"/>
                <w:lang w:val="en-US" w:eastAsia="zh-CN"/>
              </w:rPr>
            </w:pPr>
            <w:r>
              <w:rPr>
                <w:rFonts w:hint="eastAsia"/>
                <w:vertAlign w:val="baseline"/>
                <w:lang w:val="en-US" w:eastAsia="zh-CN"/>
              </w:rPr>
              <w:t>≤2%F.S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pPr>
              <w:bidi w:val="0"/>
              <w:rPr>
                <w:rFonts w:hint="default"/>
                <w:vertAlign w:val="baseline"/>
                <w:lang w:val="en-US" w:eastAsia="zh-CN"/>
              </w:rPr>
            </w:pPr>
            <w:r>
              <w:rPr>
                <w:rFonts w:hint="eastAsia"/>
                <w:vertAlign w:val="baseline"/>
                <w:lang w:val="en-US" w:eastAsia="zh-CN"/>
              </w:rPr>
              <w:t>不重复度</w:t>
            </w:r>
          </w:p>
        </w:tc>
        <w:tc>
          <w:tcPr>
            <w:tcW w:w="4261" w:type="dxa"/>
          </w:tcPr>
          <w:p>
            <w:pPr>
              <w:bidi w:val="0"/>
              <w:rPr>
                <w:rFonts w:hint="default"/>
                <w:vertAlign w:val="baseline"/>
                <w:lang w:val="en-US" w:eastAsia="zh-CN"/>
              </w:rPr>
            </w:pPr>
            <w:r>
              <w:rPr>
                <w:rFonts w:hint="eastAsia"/>
                <w:vertAlign w:val="baseline"/>
                <w:lang w:val="en-US" w:eastAsia="zh-CN"/>
              </w:rPr>
              <w:t>≤0.5%F.S</w:t>
            </w:r>
          </w:p>
        </w:tc>
      </w:tr>
    </w:tbl>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产品外观尺寸</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center"/>
        <w:textAlignment w:val="auto"/>
      </w:pPr>
      <w:r>
        <w:rPr>
          <w:sz w:val="24"/>
        </w:rPr>
        <mc:AlternateContent>
          <mc:Choice Requires="wps">
            <w:drawing>
              <wp:anchor distT="0" distB="0" distL="114300" distR="114300" simplePos="0" relativeHeight="251661312" behindDoc="0" locked="0" layoutInCell="1" allowOverlap="1">
                <wp:simplePos x="0" y="0"/>
                <wp:positionH relativeFrom="column">
                  <wp:posOffset>870585</wp:posOffset>
                </wp:positionH>
                <wp:positionV relativeFrom="paragraph">
                  <wp:posOffset>1761490</wp:posOffset>
                </wp:positionV>
                <wp:extent cx="704850" cy="352425"/>
                <wp:effectExtent l="0" t="0" r="0" b="9525"/>
                <wp:wrapNone/>
                <wp:docPr id="4" name="矩形 4"/>
                <wp:cNvGraphicFramePr/>
                <a:graphic xmlns:a="http://schemas.openxmlformats.org/drawingml/2006/main">
                  <a:graphicData uri="http://schemas.microsoft.com/office/word/2010/wordprocessingShape">
                    <wps:wsp>
                      <wps:cNvSpPr/>
                      <wps:spPr>
                        <a:xfrm>
                          <a:off x="2013585" y="2675890"/>
                          <a:ext cx="704850" cy="352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8.55pt;margin-top:138.7pt;height:27.75pt;width:55.5pt;z-index:251661312;v-text-anchor:middle;mso-width-relative:page;mso-height-relative:page;" fillcolor="#FFFFFF [3212]" filled="t" stroked="f" coordsize="21600,21600" o:gfxdata="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">
                <v:fill on="t" focussize="0,0"/>
                <v:stroke on="f" weight="1pt" miterlimit="8" joinstyle="miter"/>
                <v:imagedata o:title=""/>
                <o:lock v:ext="edit" aspectratio="f"/>
              </v:rect>
            </w:pict>
          </mc:Fallback>
        </mc:AlternateContent>
      </w:r>
      <w:r>
        <w:drawing>
          <wp:inline distT="0" distB="0" distL="114300" distR="114300">
            <wp:extent cx="3307715" cy="2127250"/>
            <wp:effectExtent l="0" t="0" r="0" b="635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5">
                      <a:clrChange>
                        <a:clrFrom>
                          <a:srgbClr val="FFFFFF">
                            <a:alpha val="100000"/>
                          </a:srgbClr>
                        </a:clrFrom>
                        <a:clrTo>
                          <a:srgbClr val="FFFFFF">
                            <a:alpha val="100000"/>
                            <a:alpha val="0"/>
                          </a:srgbClr>
                        </a:clrTo>
                      </a:clrChange>
                    </a:blip>
                    <a:stretch>
                      <a:fillRect/>
                    </a:stretch>
                  </pic:blipFill>
                  <pic:spPr>
                    <a:xfrm>
                      <a:off x="0" y="0"/>
                      <a:ext cx="3307715" cy="2127250"/>
                    </a:xfrm>
                    <a:prstGeom prst="rect">
                      <a:avLst/>
                    </a:prstGeom>
                    <a:noFill/>
                    <a:ln>
                      <a:noFill/>
                    </a:ln>
                  </pic:spPr>
                </pic:pic>
              </a:graphicData>
            </a:graphic>
          </wp:inline>
        </w:drawing>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产品安装与使用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 设备安装</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ascii="宋体" w:hAnsi="宋体" w:eastAsia="宋体" w:cs="宋体"/>
          <w:sz w:val="24"/>
          <w:szCs w:val="24"/>
        </w:rPr>
      </w:pPr>
      <w:r>
        <w:rPr>
          <w:rFonts w:ascii="宋体" w:hAnsi="宋体" w:eastAsia="宋体" w:cs="宋体"/>
          <w:sz w:val="24"/>
          <w:szCs w:val="24"/>
        </w:rPr>
        <w:t>土压力计的使用场合较多，仪器的工作及施工条件也不完全一样，需要时可及时与我</w:t>
      </w:r>
      <w:r>
        <w:rPr>
          <w:rFonts w:hint="eastAsia" w:ascii="宋体" w:hAnsi="宋体" w:cs="宋体"/>
          <w:sz w:val="24"/>
          <w:szCs w:val="24"/>
          <w:lang w:val="en-US" w:eastAsia="zh-CN"/>
        </w:rPr>
        <w:t>司</w:t>
      </w:r>
      <w:r>
        <w:rPr>
          <w:rFonts w:ascii="宋体" w:hAnsi="宋体" w:eastAsia="宋体" w:cs="宋体"/>
          <w:sz w:val="24"/>
          <w:szCs w:val="24"/>
        </w:rPr>
        <w:t xml:space="preserve">联系。 </w:t>
      </w:r>
    </w:p>
    <w:p>
      <w:pPr>
        <w:keepNext w:val="0"/>
        <w:keepLines w:val="0"/>
        <w:pageBreakBefore w:val="0"/>
        <w:widowControl w:val="0"/>
        <w:numPr>
          <w:ilvl w:val="0"/>
          <w:numId w:val="0"/>
        </w:numPr>
        <w:kinsoku/>
        <w:wordWrap/>
        <w:overflowPunct/>
        <w:topLinePunct w:val="0"/>
        <w:autoSpaceDE/>
        <w:autoSpaceDN/>
        <w:bidi w:val="0"/>
        <w:adjustRightInd/>
        <w:snapToGrid/>
        <w:ind w:firstLine="240" w:firstLineChars="100"/>
        <w:jc w:val="both"/>
        <w:textAlignment w:val="auto"/>
        <w:rPr>
          <w:rFonts w:ascii="宋体" w:hAnsi="宋体" w:eastAsia="宋体" w:cs="宋体"/>
          <w:sz w:val="24"/>
          <w:szCs w:val="24"/>
        </w:rPr>
      </w:pPr>
      <w:r>
        <w:rPr>
          <w:rFonts w:ascii="宋体" w:hAnsi="宋体" w:eastAsia="宋体" w:cs="宋体"/>
          <w:sz w:val="24"/>
          <w:szCs w:val="24"/>
        </w:rPr>
        <w:t>每一支土压力计都配有检测证书，该证书给出了读数数值与荷载间的关系， 同时也给出了初始零读数、仪器系数等参数。到货后应及时对仪器设备进行读数检查，读取数值应于出厂时的初频相符合（误差≤±20Hz），只有传感器读数正常方可进行安装。</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3.2 注意事项</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安装前对仪器设备进行读数检查，如经检测有不正常读数的仪器，不可私自 打开仪器检修。 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安装过程中应轻拿轻放，避免碰撞或跌落。 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埋设中必须注意士压力计受压面与土体之间是否会形成空隙，并尽量消除仪 器与土体之间土壤析水引起的积水。 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埋设时，承受土压力计的土面须严格整平，回填的土料应与周围土料相同（去 除石料）小心用人工分层夯实，土压力计及电缆上压实的填土超过 1m 以上， 注意保护电缆。 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pPr>
      <w:r>
        <w:t xml:space="preserve">为了避免电缆在重型振动碾压设备作业时损坏，增加预防措施  </w:t>
      </w:r>
    </w:p>
    <w:p>
      <w:pPr>
        <w:keepNext w:val="0"/>
        <w:keepLines w:val="0"/>
        <w:pageBreakBefore w:val="0"/>
        <w:widowControl w:val="0"/>
        <w:numPr>
          <w:ilvl w:val="0"/>
          <w:numId w:val="4"/>
        </w:numPr>
        <w:kinsoku/>
        <w:wordWrap/>
        <w:overflowPunct/>
        <w:topLinePunct w:val="0"/>
        <w:autoSpaceDE/>
        <w:autoSpaceDN/>
        <w:bidi w:val="0"/>
        <w:adjustRightInd/>
        <w:snapToGrid/>
        <w:ind w:left="420" w:leftChars="0" w:hanging="420" w:firstLineChars="0"/>
        <w:textAlignment w:val="auto"/>
        <w:rPr>
          <w:rFonts w:hint="default"/>
          <w:lang w:val="en-US" w:eastAsia="zh-CN"/>
        </w:rPr>
      </w:pPr>
      <w:r>
        <w:t>应避免外力对传感器的冲击</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 安装方法</w:t>
      </w:r>
    </w:p>
    <w:p>
      <w:pPr>
        <w:bidi w:val="0"/>
        <w:rPr>
          <w:rFonts w:hint="eastAsia"/>
          <w:b/>
          <w:bCs/>
          <w:lang w:val="en-US" w:eastAsia="zh-CN"/>
        </w:rPr>
      </w:pPr>
      <w:r>
        <w:rPr>
          <w:rFonts w:hint="eastAsia"/>
          <w:b/>
          <w:bCs/>
          <w:lang w:val="en-US" w:eastAsia="zh-CN"/>
        </w:rPr>
        <w:t>填埋法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lang w:eastAsia="zh-CN"/>
        </w:rPr>
      </w:pPr>
      <w:r>
        <w:t>选择合适的位置：土压力计的安装位置应该在土体内的高应力区域，以便能 够准确测量土体的内侧压力。同时，还需要考虑土体工程的结构特点和施工条件。 预留安装孔：在选定位置上，需要预留一个钻孔或挖掘一个洞口，以便将土压力 计安装到土体内侧。孔的大小应该根据土压力计的尺寸和要求进行选择。安装土 压力计：将土压力计安装到预留的孔内，确保其与孔壁接触紧密，并使用适当的 密封材料填充孔隙。安装时需要注意土压力计的方向和倾斜角度，以便其能够准 确测量压力。连接数据采集系统：将土压力计的数据传输线连接到数据采集系统， 以便实时监测、记录和分析土压力数据。在连接时需要注意线缆的长度和布线方 式</w:t>
      </w:r>
      <w:r>
        <w:rPr>
          <w:rFonts w:hint="eastAsia"/>
          <w:lang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b/>
          <w:bCs/>
          <w:lang w:val="en-US" w:eastAsia="zh-CN"/>
        </w:rPr>
      </w:pPr>
      <w:r>
        <w:rPr>
          <w:rFonts w:hint="eastAsia"/>
          <w:b/>
          <w:bCs/>
          <w:lang w:val="en-US" w:eastAsia="zh-CN"/>
        </w:rPr>
        <w:t>挂布法</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首先，制作挂布帷幕，即将尼龙布拼幅成一定宽度和高度，把土压力计用塑 化后的聚氯乙烯胶泥粘贴在布帘上（或布袋内）；然后将已装好挂布帷幕展开铺 挂在钢筋笼上，适当固定。电缆留有充分余地固定在钢筋笼上。其次，量测并记 录仪表下设前的测值；挂布帷幕仪表随同钢筋笼吊入槽孔内，再一次量测下设后 6 的测值；最后，向槽孔中浇筑混凝上。浇筑过程中连续监测土压力计读数，监视土压力计随混凝土浇筑面上升与槽孔侧壁接触情况的变化值。</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both"/>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 产品读数</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jc w:val="center"/>
        <w:textAlignment w:val="auto"/>
        <w:rPr>
          <w:rFonts w:hint="default" w:hAnsi="Cambria Math" w:cs="黑体"/>
          <w:bCs/>
          <w:i w:val="0"/>
          <w:sz w:val="30"/>
          <w:szCs w:val="30"/>
          <w:lang w:val="en-US" w:eastAsia="zh-CN"/>
        </w:rPr>
      </w:pPr>
      <w:r>
        <w:rPr>
          <w:rFonts w:hint="eastAsia" w:ascii="黑体" w:hAnsi="黑体" w:eastAsia="黑体" w:cs="黑体"/>
          <w:b/>
          <w:bCs/>
          <w:sz w:val="30"/>
          <w:szCs w:val="30"/>
          <w:lang w:val="en-US" w:eastAsia="zh-CN"/>
        </w:rPr>
        <w:t>P=K(</w:t>
      </w:r>
      <m:oMath>
        <m:sSubSup>
          <m:sSubSupPr>
            <m:ctrlPr>
              <w:rPr>
                <w:rFonts w:ascii="Cambria Math" w:hAnsi="Cambria Math" w:cs="黑体"/>
                <w:bCs/>
                <w:i/>
                <w:sz w:val="30"/>
                <w:szCs w:val="30"/>
                <w:lang w:val="en-US"/>
              </w:rPr>
            </m:ctrlPr>
          </m:sSubSupPr>
          <m:e>
            <m:r>
              <m:rPr/>
              <w:rPr>
                <w:rFonts w:hint="default" w:ascii="Cambria Math" w:hAnsi="Cambria Math" w:cs="黑体"/>
                <w:sz w:val="30"/>
                <w:szCs w:val="30"/>
                <w:lang w:val="en-US" w:eastAsia="zh-CN"/>
              </w:rPr>
              <m:t>f</m:t>
            </m:r>
            <m:ctrlPr>
              <w:rPr>
                <w:rFonts w:ascii="Cambria Math" w:hAnsi="Cambria Math" w:cs="黑体"/>
                <w:bCs/>
                <w:i/>
                <w:sz w:val="30"/>
                <w:szCs w:val="30"/>
                <w:lang w:val="en-US"/>
              </w:rPr>
            </m:ctrlPr>
          </m:e>
          <m:sub>
            <m:r>
              <m:rPr/>
              <w:rPr>
                <w:rFonts w:hint="default" w:ascii="Cambria Math" w:hAnsi="Cambria Math" w:cs="黑体"/>
                <w:sz w:val="30"/>
                <w:szCs w:val="30"/>
                <w:lang w:val="en-US" w:eastAsia="zh-CN"/>
              </w:rPr>
              <m:t>0</m:t>
            </m:r>
            <m:ctrlPr>
              <w:rPr>
                <w:rFonts w:ascii="Cambria Math" w:hAnsi="Cambria Math" w:cs="黑体"/>
                <w:bCs/>
                <w:i/>
                <w:sz w:val="30"/>
                <w:szCs w:val="30"/>
                <w:lang w:val="en-US"/>
              </w:rPr>
            </m:ctrlPr>
          </m:sub>
          <m:sup>
            <m:r>
              <m:rPr/>
              <w:rPr>
                <w:rFonts w:hint="default" w:ascii="Cambria Math" w:hAnsi="Cambria Math" w:cs="黑体"/>
                <w:sz w:val="30"/>
                <w:szCs w:val="30"/>
                <w:lang w:val="en-US" w:eastAsia="zh-CN"/>
              </w:rPr>
              <m:t>2</m:t>
            </m:r>
            <m:ctrlPr>
              <w:rPr>
                <w:rFonts w:ascii="Cambria Math" w:hAnsi="Cambria Math" w:cs="黑体"/>
                <w:bCs/>
                <w:i/>
                <w:sz w:val="30"/>
                <w:szCs w:val="30"/>
                <w:lang w:val="en-US"/>
              </w:rPr>
            </m:ctrlPr>
          </m:sup>
        </m:sSubSup>
        <m:r>
          <m:rPr/>
          <w:rPr>
            <w:rFonts w:hint="default" w:ascii="Cambria Math" w:hAnsi="Cambria Math" w:cs="黑体"/>
            <w:sz w:val="30"/>
            <w:szCs w:val="30"/>
            <w:lang w:val="en-US" w:eastAsia="zh-CN"/>
          </w:rPr>
          <m:t>−</m:t>
        </m:r>
        <m:sSubSup>
          <m:sSubSupPr>
            <m:ctrlPr>
              <w:rPr>
                <w:rFonts w:hint="default" w:ascii="Cambria Math" w:hAnsi="Cambria Math" w:cs="黑体"/>
                <w:bCs/>
                <w:i/>
                <w:sz w:val="30"/>
                <w:szCs w:val="30"/>
                <w:lang w:val="en-US" w:eastAsia="zh-CN"/>
              </w:rPr>
            </m:ctrlPr>
          </m:sSubSupPr>
          <m:e>
            <m:r>
              <m:rPr/>
              <w:rPr>
                <w:rFonts w:hint="default" w:ascii="Cambria Math" w:hAnsi="Cambria Math" w:cs="黑体"/>
                <w:sz w:val="30"/>
                <w:szCs w:val="30"/>
                <w:lang w:val="en-US" w:eastAsia="zh-CN"/>
              </w:rPr>
              <m:t>f</m:t>
            </m:r>
            <m:ctrlPr>
              <w:rPr>
                <w:rFonts w:hint="default" w:ascii="Cambria Math" w:hAnsi="Cambria Math" w:cs="黑体"/>
                <w:bCs/>
                <w:i/>
                <w:sz w:val="30"/>
                <w:szCs w:val="30"/>
                <w:lang w:val="en-US" w:eastAsia="zh-CN"/>
              </w:rPr>
            </m:ctrlPr>
          </m:e>
          <m:sub>
            <m:r>
              <m:rPr/>
              <w:rPr>
                <w:rFonts w:hint="default" w:ascii="Cambria Math" w:hAnsi="Cambria Math" w:cs="黑体"/>
                <w:sz w:val="30"/>
                <w:szCs w:val="30"/>
                <w:lang w:val="en-US" w:eastAsia="zh-CN"/>
              </w:rPr>
              <m:t>i</m:t>
            </m:r>
            <m:ctrlPr>
              <w:rPr>
                <w:rFonts w:hint="default" w:ascii="Cambria Math" w:hAnsi="Cambria Math" w:cs="黑体"/>
                <w:bCs/>
                <w:i/>
                <w:sz w:val="30"/>
                <w:szCs w:val="30"/>
                <w:lang w:val="en-US" w:eastAsia="zh-CN"/>
              </w:rPr>
            </m:ctrlPr>
          </m:sub>
          <m:sup>
            <m:r>
              <m:rPr/>
              <w:rPr>
                <w:rFonts w:hint="default" w:ascii="Cambria Math" w:hAnsi="Cambria Math" w:cs="黑体"/>
                <w:sz w:val="30"/>
                <w:szCs w:val="30"/>
                <w:lang w:val="en-US" w:eastAsia="zh-CN"/>
              </w:rPr>
              <m:t>2</m:t>
            </m:r>
            <m:ctrlPr>
              <w:rPr>
                <w:rFonts w:hint="default" w:ascii="Cambria Math" w:hAnsi="Cambria Math" w:cs="黑体"/>
                <w:bCs/>
                <w:i/>
                <w:sz w:val="30"/>
                <w:szCs w:val="30"/>
                <w:lang w:val="en-US" w:eastAsia="zh-CN"/>
              </w:rPr>
            </m:ctrlPr>
          </m:sup>
        </m:sSubSup>
        <m:r>
          <m:rPr/>
          <w:rPr>
            <w:rFonts w:hint="default" w:ascii="Cambria Math" w:hAnsi="Cambria Math" w:cs="黑体"/>
            <w:sz w:val="30"/>
            <w:szCs w:val="30"/>
            <w:lang w:val="en-US" w:eastAsia="zh-CN"/>
          </w:rPr>
          <m:t>)</m:t>
        </m:r>
      </m:oMath>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计算结果为正值时，仪器在受压状态。 </w:t>
      </w:r>
    </w:p>
    <w:p>
      <w:pPr>
        <w:keepNext w:val="0"/>
        <w:keepLines w:val="0"/>
        <w:pageBreakBefore w:val="0"/>
        <w:widowControl w:val="0"/>
        <w:kinsoku/>
        <w:wordWrap/>
        <w:overflowPunct/>
        <w:topLinePunct w:val="0"/>
        <w:autoSpaceDE/>
        <w:autoSpaceDN/>
        <w:bidi w:val="0"/>
        <w:adjustRightInd/>
        <w:snapToGrid/>
        <w:textAlignment w:val="auto"/>
      </w:pPr>
      <w:r>
        <w:t xml:space="preserve">参数说明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P：被测物体的荷载（MPa） </w:t>
      </w:r>
    </w:p>
    <w:p>
      <w:pPr>
        <w:keepNext w:val="0"/>
        <w:keepLines w:val="0"/>
        <w:pageBreakBefore w:val="0"/>
        <w:widowControl w:val="0"/>
        <w:kinsoku/>
        <w:wordWrap/>
        <w:overflowPunct/>
        <w:topLinePunct w:val="0"/>
        <w:autoSpaceDE/>
        <w:autoSpaceDN/>
        <w:bidi w:val="0"/>
        <w:adjustRightInd/>
        <w:snapToGrid/>
        <w:ind w:firstLine="480" w:firstLineChars="200"/>
        <w:textAlignment w:val="auto"/>
      </w:pPr>
      <w:r>
        <w:t xml:space="preserve">f0：初始测量频率值（Hz）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lang w:val="en-US" w:eastAsia="zh-CN"/>
        </w:rPr>
      </w:pPr>
      <w:r>
        <w:t>fi：实时测量频率值（Hz）</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F60FAE"/>
    <w:multiLevelType w:val="multilevel"/>
    <w:tmpl w:val="B4F60FAE"/>
    <w:lvl w:ilvl="0" w:tentative="0">
      <w:start w:val="1"/>
      <w:numFmt w:val="decimal"/>
      <w:suff w:val="space"/>
      <w:lvlText w:val="第%1章"/>
      <w:lvlJc w:val="left"/>
      <w:pPr>
        <w:ind w:left="3976" w:hanging="432"/>
      </w:pPr>
    </w:lvl>
    <w:lvl w:ilvl="1" w:tentative="0">
      <w:start w:val="1"/>
      <w:numFmt w:val="decimal"/>
      <w:pStyle w:val="2"/>
      <w:suff w:val="space"/>
      <w:lvlText w:val="%1.%2"/>
      <w:lvlJc w:val="left"/>
      <w:pPr>
        <w:ind w:left="576" w:hanging="576"/>
      </w:pPr>
      <w:rPr>
        <w:rFonts w:hint="eastAsia" w:ascii="Times New Roman" w:hAnsi="Times New Roman" w:eastAsia="黑体"/>
        <w:b w:val="0"/>
        <w:bCs w:val="0"/>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C41FC5E5"/>
    <w:multiLevelType w:val="singleLevel"/>
    <w:tmpl w:val="C41FC5E5"/>
    <w:lvl w:ilvl="0" w:tentative="0">
      <w:start w:val="1"/>
      <w:numFmt w:val="bullet"/>
      <w:lvlText w:val=""/>
      <w:lvlJc w:val="left"/>
      <w:pPr>
        <w:ind w:left="420" w:hanging="420"/>
      </w:pPr>
      <w:rPr>
        <w:rFonts w:hint="default" w:ascii="Wingdings" w:hAnsi="Wingdings"/>
      </w:rPr>
    </w:lvl>
  </w:abstractNum>
  <w:abstractNum w:abstractNumId="2">
    <w:nsid w:val="CBDA53A3"/>
    <w:multiLevelType w:val="multilevel"/>
    <w:tmpl w:val="CBDA53A3"/>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35D5F021"/>
    <w:multiLevelType w:val="singleLevel"/>
    <w:tmpl w:val="35D5F021"/>
    <w:lvl w:ilvl="0" w:tentative="0">
      <w:start w:val="1"/>
      <w:numFmt w:val="chineseCounting"/>
      <w:suff w:val="space"/>
      <w:lvlText w:val="第%1章"/>
      <w:lvlJc w:val="left"/>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I4MDY5NTI5M2U1ZDFmZjY1ZWUzZTFjMjU0YWE0MzQifQ=="/>
    <w:docVar w:name="KSO_WPS_MARK_KEY" w:val="ab8d6335-7c61-40e0-bc5c-fd0889f0aea4"/>
  </w:docVars>
  <w:rsids>
    <w:rsidRoot w:val="0E8127FA"/>
    <w:rsid w:val="0E8127FA"/>
    <w:rsid w:val="14443234"/>
    <w:rsid w:val="14D7185D"/>
    <w:rsid w:val="22473F56"/>
    <w:rsid w:val="40664B58"/>
    <w:rsid w:val="4F963FCB"/>
    <w:rsid w:val="569F1328"/>
    <w:rsid w:val="575E7C19"/>
    <w:rsid w:val="6DE35DF5"/>
    <w:rsid w:val="6EBF6980"/>
    <w:rsid w:val="783C02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4"/>
      <w:lang w:val="en-US" w:eastAsia="zh-CN" w:bidi="ar-SA"/>
    </w:rPr>
  </w:style>
  <w:style w:type="paragraph" w:styleId="2">
    <w:name w:val="heading 2"/>
    <w:basedOn w:val="1"/>
    <w:next w:val="1"/>
    <w:semiHidden/>
    <w:unhideWhenUsed/>
    <w:qFormat/>
    <w:uiPriority w:val="0"/>
    <w:pPr>
      <w:keepNext/>
      <w:keepLines/>
      <w:numPr>
        <w:ilvl w:val="1"/>
        <w:numId w:val="1"/>
      </w:numPr>
      <w:spacing w:before="120" w:after="120"/>
      <w:outlineLvl w:val="1"/>
    </w:pPr>
    <w:rPr>
      <w:rFonts w:eastAsia="黑体" w:asciiTheme="minorAscii" w:hAnsiTheme="minorAscii"/>
      <w:b/>
      <w:sz w:val="30"/>
    </w:rPr>
  </w:style>
  <w:style w:type="paragraph" w:styleId="3">
    <w:name w:val="heading 3"/>
    <w:basedOn w:val="1"/>
    <w:next w:val="1"/>
    <w:semiHidden/>
    <w:unhideWhenUsed/>
    <w:qFormat/>
    <w:uiPriority w:val="0"/>
    <w:pPr>
      <w:keepNext/>
      <w:keepLines/>
      <w:spacing w:before="260" w:beforeLines="0" w:beforeAutospacing="0" w:after="260" w:afterLines="0" w:afterAutospacing="0" w:line="413" w:lineRule="auto"/>
      <w:outlineLvl w:val="2"/>
    </w:pPr>
    <w:rPr>
      <w:rFonts w:eastAsia="黑体" w:asciiTheme="minorAscii" w:hAnsiTheme="minorAscii"/>
      <w:b/>
      <w:sz w:val="24"/>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Body Text First Indent"/>
    <w:basedOn w:val="1"/>
    <w:qFormat/>
    <w:uiPriority w:val="0"/>
    <w:pPr>
      <w:ind w:firstLine="498" w:firstLineChars="200"/>
    </w:p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3456</Words>
  <Characters>3631</Characters>
  <Lines>0</Lines>
  <Paragraphs>0</Paragraphs>
  <TotalTime>23</TotalTime>
  <ScaleCrop>false</ScaleCrop>
  <LinksUpToDate>false</LinksUpToDate>
  <CharactersWithSpaces>3868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2024-12-21T00:33:00Z</dcterms:created>
  <dc:creator>fewevd</dc:creator>
  <cp:lastModifiedBy>fewevd</cp:lastModifiedBy>
  <dcterms:modified xsi:type="dcterms:W3CDTF">2024-12-30T03:11:05Z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F65A0130F18D4F959EAFF76460943A04_11</vt:lpwstr>
  </property>
</Properties>
</file>