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一氧化碳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一氧化碳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一氧化碳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一氧化碳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p>
      <w:pPr>
        <w:pStyle w:val="5"/>
        <w:rPr>
          <w:rFonts w:hint="eastAsia"/>
        </w:rPr>
      </w:pPr>
      <w:r>
        <w:rPr>
          <w:rFonts w:hint="eastAsia"/>
        </w:rPr>
        <w:t>探头参数表</w:t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b/>
                <w:lang w:val="en-US" w:eastAsia="zh-CN"/>
              </w:rPr>
              <w:t>CO</w:t>
            </w: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lang w:val="en-US" w:eastAsia="zh-CN"/>
              </w:rPr>
              <w:t>0-1000ppm</w:t>
            </w:r>
            <w:r>
              <w:rPr>
                <w:rFonts w:hint="eastAsia"/>
                <w:lang w:val="en-US" w:eastAsia="zh-CN"/>
              </w:rPr>
              <w:t>/0-2000ppm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半导体/电化学传感器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b/>
                <w:lang w:val="en-US" w:eastAsia="zh-CN"/>
              </w:rPr>
              <w:t>CO</w:t>
            </w:r>
            <w:r>
              <w:rPr>
                <w:rFonts w:hint="eastAsia" w:ascii="宋体" w:hAnsi="宋体" w:cs="宋体"/>
                <w:bCs/>
              </w:rPr>
              <w:t>测量精度</w:t>
            </w:r>
          </w:p>
        </w:tc>
        <w:tc>
          <w:tcPr>
            <w:tcW w:w="4240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≤读数的±3%</w:t>
            </w:r>
            <w:r>
              <w:rPr>
                <w:rFonts w:hint="eastAsia" w:ascii="宋体" w:hAnsi="宋体" w:cs="宋体"/>
                <w:bCs/>
                <w:szCs w:val="24"/>
              </w:rPr>
              <w:t>(25℃)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响应时间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质保期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主机质保2年，气体探头质保1年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波特率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耗电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&lt;1W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运行温度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-30-50℃（-20-40℃持续）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工作湿度环境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lang w:val="en-US" w:eastAsia="zh-CN"/>
              </w:rPr>
              <w:t>15-90%RH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外形尺寸</w:t>
            </w:r>
          </w:p>
        </w:tc>
        <w:tc>
          <w:tcPr>
            <w:tcW w:w="4240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110×85×44mm</w:t>
            </w:r>
            <w:r>
              <w:rPr>
                <w:rFonts w:hint="eastAsia" w:ascii="宋体" w:hAnsi="宋体" w:cs="宋体"/>
                <w:bCs/>
                <w:vertAlign w:val="superscript"/>
              </w:rPr>
              <w:t>3</w:t>
            </w:r>
          </w:p>
        </w:tc>
      </w:tr>
    </w:tbl>
    <w:p>
      <w:pPr>
        <w:pStyle w:val="5"/>
        <w:rPr>
          <w:rFonts w:hint="eastAsia"/>
        </w:rPr>
      </w:pPr>
      <w:bookmarkStart w:id="0" w:name="_Toc30075"/>
      <w:r>
        <w:rPr>
          <w:rFonts w:hint="eastAsia"/>
        </w:rPr>
        <w:t>探头选型</w:t>
      </w:r>
    </w:p>
    <w:tbl>
      <w:tblPr>
        <w:tblStyle w:val="37"/>
        <w:tblW w:w="6237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015"/>
        <w:gridCol w:w="1316"/>
        <w:gridCol w:w="1103"/>
        <w:gridCol w:w="101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编号</w:t>
            </w:r>
          </w:p>
        </w:tc>
        <w:tc>
          <w:tcPr>
            <w:tcW w:w="201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探头类型</w:t>
            </w:r>
          </w:p>
        </w:tc>
        <w:tc>
          <w:tcPr>
            <w:tcW w:w="131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量程</w:t>
            </w:r>
          </w:p>
        </w:tc>
        <w:tc>
          <w:tcPr>
            <w:tcW w:w="110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/可检测下限</w:t>
            </w:r>
          </w:p>
        </w:tc>
        <w:tc>
          <w:tcPr>
            <w:tcW w:w="101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tcBorders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1K</w:t>
            </w:r>
          </w:p>
        </w:tc>
        <w:tc>
          <w:tcPr>
            <w:tcW w:w="2015" w:type="dxa"/>
            <w:tcBorders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国产</w:t>
            </w:r>
          </w:p>
        </w:tc>
        <w:tc>
          <w:tcPr>
            <w:tcW w:w="1316" w:type="dxa"/>
            <w:tcBorders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1000ppm</w:t>
            </w:r>
          </w:p>
        </w:tc>
        <w:tc>
          <w:tcPr>
            <w:tcW w:w="1103" w:type="dxa"/>
            <w:tcBorders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500ppb</w:t>
            </w:r>
          </w:p>
        </w:tc>
        <w:tc>
          <w:tcPr>
            <w:tcW w:w="1018" w:type="dxa"/>
            <w:tcBorders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&gt;2年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2K</w:t>
            </w:r>
          </w:p>
        </w:tc>
        <w:tc>
          <w:tcPr>
            <w:tcW w:w="201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国产</w:t>
            </w:r>
          </w:p>
        </w:tc>
        <w:tc>
          <w:tcPr>
            <w:tcW w:w="1316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2000ppm</w:t>
            </w:r>
          </w:p>
        </w:tc>
        <w:tc>
          <w:tcPr>
            <w:tcW w:w="1103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500ppb</w:t>
            </w:r>
          </w:p>
        </w:tc>
        <w:tc>
          <w:tcPr>
            <w:tcW w:w="101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&gt;2年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tcBorders>
              <w:top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2KJ</w:t>
            </w:r>
          </w:p>
        </w:tc>
        <w:tc>
          <w:tcPr>
            <w:tcW w:w="2015" w:type="dxa"/>
            <w:tcBorders>
              <w:top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进口霍尼韦尔</w:t>
            </w:r>
          </w:p>
        </w:tc>
        <w:tc>
          <w:tcPr>
            <w:tcW w:w="1316" w:type="dxa"/>
            <w:tcBorders>
              <w:top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2000ppm</w:t>
            </w:r>
          </w:p>
        </w:tc>
        <w:tc>
          <w:tcPr>
            <w:tcW w:w="1103" w:type="dxa"/>
            <w:tcBorders>
              <w:top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10ppm</w:t>
            </w:r>
          </w:p>
        </w:tc>
        <w:tc>
          <w:tcPr>
            <w:tcW w:w="1018" w:type="dxa"/>
            <w:tcBorders>
              <w:top w:val="nil"/>
            </w:tcBorders>
            <w:shd w:val="clear" w:color="auto" w:fill="BFBFB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&gt;2年</w:t>
            </w:r>
          </w:p>
        </w:tc>
      </w:tr>
    </w:tbl>
    <w:p>
      <w:pPr>
        <w:pStyle w:val="5"/>
        <w:numPr>
          <w:numId w:val="0"/>
        </w:numPr>
        <w:ind w:leftChars="0"/>
        <w:rPr>
          <w:rFonts w:hint="eastAsia"/>
        </w:rPr>
      </w:pPr>
      <w:bookmarkStart w:id="5" w:name="_GoBack"/>
      <w:bookmarkEnd w:id="5"/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C1116EE"/>
    <w:rsid w:val="1DA339E3"/>
    <w:rsid w:val="1EA3206A"/>
    <w:rsid w:val="1EB40255"/>
    <w:rsid w:val="1EFF23D6"/>
    <w:rsid w:val="20554466"/>
    <w:rsid w:val="25FD38CD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E64752"/>
    <w:rsid w:val="369C796D"/>
    <w:rsid w:val="38F05A0B"/>
    <w:rsid w:val="39B26BD2"/>
    <w:rsid w:val="3A2B1F14"/>
    <w:rsid w:val="411C4CEB"/>
    <w:rsid w:val="41ED62DB"/>
    <w:rsid w:val="44757BF1"/>
    <w:rsid w:val="458B3A0D"/>
    <w:rsid w:val="46D01AD5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608012C0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name="footnote text"/>
    <w:lsdException w:unhideWhenUsed="0" w:uiPriority="99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  <w:lang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  <w:lang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  <w:lang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  <w:lang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  <w:lang/>
    </w:rPr>
  </w:style>
  <w:style w:type="character" w:default="1" w:styleId="44">
    <w:name w:val="Default Paragraph Font"/>
    <w:semiHidden/>
    <w:uiPriority w:val="0"/>
  </w:style>
  <w:style w:type="table" w:default="1" w:styleId="37">
    <w:name w:val="Normal Table"/>
    <w:unhideWhenUsed/>
    <w:uiPriority w:val="99"/>
    <w:tblPr>
      <w:tblStyle w:val="3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uiPriority w:val="0"/>
    <w:pPr>
      <w:ind w:firstLine="498" w:firstLineChars="200"/>
    </w:pPr>
  </w:style>
  <w:style w:type="paragraph" w:styleId="12">
    <w:name w:val="toc 7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  <w:lang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uiPriority w:val="99"/>
    <w:pPr>
      <w:jc w:val="left"/>
    </w:pPr>
  </w:style>
  <w:style w:type="paragraph" w:styleId="16">
    <w:name w:val="Body Text"/>
    <w:basedOn w:val="1"/>
    <w:link w:val="106"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  <w:lang/>
    </w:rPr>
  </w:style>
  <w:style w:type="paragraph" w:styleId="17">
    <w:name w:val="Body Text Indent"/>
    <w:basedOn w:val="1"/>
    <w:link w:val="128"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  <w:lang/>
    </w:rPr>
  </w:style>
  <w:style w:type="paragraph" w:styleId="19">
    <w:name w:val="toc 3"/>
    <w:basedOn w:val="1"/>
    <w:next w:val="1"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  <w:lang/>
    </w:rPr>
  </w:style>
  <w:style w:type="paragraph" w:styleId="22">
    <w:name w:val="endnote text"/>
    <w:basedOn w:val="1"/>
    <w:semiHidden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uiPriority w:val="0"/>
    <w:rPr>
      <w:sz w:val="18"/>
      <w:szCs w:val="18"/>
    </w:rPr>
  </w:style>
  <w:style w:type="paragraph" w:styleId="24">
    <w:name w:val="footer"/>
    <w:basedOn w:val="1"/>
    <w:link w:val="12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  <w:lang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  <w:lang/>
    </w:rPr>
  </w:style>
  <w:style w:type="paragraph" w:styleId="29">
    <w:name w:val="footnote text"/>
    <w:basedOn w:val="1"/>
    <w:semiHidden/>
    <w:uiPriority w:val="0"/>
    <w:pPr>
      <w:snapToGrid w:val="0"/>
      <w:jc w:val="left"/>
    </w:pPr>
  </w:style>
  <w:style w:type="paragraph" w:styleId="30">
    <w:name w:val="toc 6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  <w:lang/>
    </w:rPr>
  </w:style>
  <w:style w:type="paragraph" w:styleId="31">
    <w:name w:val="toc 2"/>
    <w:basedOn w:val="1"/>
    <w:next w:val="1"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  <w:lang/>
    </w:rPr>
  </w:style>
  <w:style w:type="paragraph" w:styleId="33">
    <w:name w:val="HTML Preformatted"/>
    <w:basedOn w:val="1"/>
    <w:link w:val="120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Style w:val="37"/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Style w:val="37"/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Style w:val="37"/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Style w:val="37"/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Style w:val="37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Style w:val="37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shd w:val="clear" w:color="auto" w:fill="D2EAF1"/>
      </w:tcPr>
    </w:tblStylePr>
    <w:tblStylePr w:type="band1Horz">
      <w:tblPr>
        <w:tblStyle w:val="37"/>
        <w:tblLayout w:type="fixed"/>
      </w:tblPr>
      <w:tcPr>
        <w:shd w:val="clear" w:color="auto" w:fill="D2EAF1"/>
      </w:tcPr>
    </w:tblStylePr>
    <w:tblStylePr w:type="band2Horz">
      <w:tblPr>
        <w:tblStyle w:val="37"/>
        <w:tblLayout w:type="fixed"/>
      </w:tblPr>
    </w:tblStylePr>
  </w:style>
  <w:style w:type="table" w:styleId="43">
    <w:name w:val="Medium Grid 3 Accent 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  <w:lang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  <w:lang/>
    </w:rPr>
  </w:style>
  <w:style w:type="paragraph" w:styleId="58">
    <w:name w:val="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  <w:lang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  <w:lang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  <w:lang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  <w:lang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  <w:lang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  <w:lang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  <w:lang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  <w:lang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  <w:lang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97">
    <w:name w:val="提示"/>
    <w:basedOn w:val="1"/>
    <w:link w:val="101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  <w:lang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  <w:lang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  <w:lang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  <w:lang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  <w:lang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  <w:lang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aliases w:val="款标题 Char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Style w:val="37"/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7"/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7"/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Style w:val="37"/>
        <w:tblLayout w:type="fixed"/>
      </w:tblPr>
      <w:tcPr>
        <w:shd w:val="clear" w:color="auto" w:fill="FFFFFF"/>
      </w:tcPr>
    </w:tblStylePr>
    <w:tblStylePr w:type="swCell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Style w:val="37"/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Style w:val="37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Style w:val="37"/>
      <w:tblStyleRowBandSize w:val="1"/>
      <w:tblStyleColBandSize w:val="1"/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7"/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7"/>
        <w:tblLayout w:type="fixed"/>
      </w:tblPr>
      <w:tcPr>
        <w:shd w:val="clear" w:color="auto" w:fill="D8D8D8"/>
      </w:tcPr>
    </w:tblStylePr>
    <w:tblStylePr w:type="neCell"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2019-04-13T08:06:47Z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