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可燃式甲烷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可燃式甲烷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可燃式甲烷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可燃式甲烷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tbl>
      <w:tblPr>
        <w:tblStyle w:val="37"/>
        <w:tblW w:w="6632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测量范围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clear" w:color="auto" w:fill="BEBEBE"/>
            <w:noWrap w:val="0"/>
            <w:vAlign w:val="top"/>
          </w:tcPr>
          <w:p>
            <w:r>
              <w:rPr>
                <w:rFonts w:hint="eastAsia"/>
              </w:rPr>
              <w:t>0-100%LEL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测量方式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r>
              <w:rPr>
                <w:rFonts w:hint="eastAsia"/>
              </w:rPr>
              <w:t>催化燃烧式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CH</w:t>
            </w:r>
            <w:r>
              <w:rPr>
                <w:b/>
                <w:vertAlign w:val="subscript"/>
              </w:rPr>
              <w:t>4</w:t>
            </w:r>
            <w:r>
              <w:rPr>
                <w:b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r>
              <w:t>3%F.s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质保期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r>
              <w:t>主机质保2年，探头质保1年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通讯端口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r>
              <w:t>RS485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供电电源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r>
              <w:t>总线供电，</w:t>
            </w:r>
            <w:r>
              <w:rPr>
                <w:szCs w:val="24"/>
              </w:rPr>
              <w:t>12-24V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r>
              <w:rPr>
                <w:rFonts w:hint="eastAsia"/>
              </w:rPr>
              <w:t>≤1.5W（@12V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0.9-1.1atm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r>
              <w:t>0-</w:t>
            </w:r>
            <w:r>
              <w:rPr>
                <w:rFonts w:hint="eastAsia"/>
              </w:rPr>
              <w:t>5</w:t>
            </w:r>
            <w:r>
              <w:t>0</w:t>
            </w:r>
            <w:r>
              <w:rPr>
                <w:rFonts w:hint="eastAsia" w:ascii="宋体" w:hAnsi="宋体" w:cs="宋体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r>
              <w:t>15-90%RH</w:t>
            </w:r>
            <w:r>
              <w:rPr>
                <w:kern w:val="0"/>
                <w:szCs w:val="21"/>
              </w:rPr>
              <w:t>(</w:t>
            </w:r>
            <w: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auto" w:sz="8" w:space="0"/>
            </w:tcBorders>
            <w:shd w:val="clear" w:color="auto" w:fill="BEBEBE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single" w:color="auto" w:sz="8" w:space="0"/>
            </w:tcBorders>
            <w:shd w:val="clear" w:color="auto" w:fill="BEBEBE"/>
            <w:noWrap w:val="0"/>
            <w:vAlign w:val="top"/>
          </w:tcPr>
          <w:p>
            <w:r>
              <w:t>110×85×44mm</w:t>
            </w:r>
            <w:r>
              <w:rPr>
                <w:vertAlign w:val="superscript"/>
              </w:rPr>
              <w:t>3</w:t>
            </w:r>
          </w:p>
        </w:tc>
      </w:tr>
    </w:tbl>
    <w:p>
      <w:pPr>
        <w:pStyle w:val="3"/>
        <w:numPr>
          <w:numId w:val="0"/>
        </w:numPr>
        <w:ind w:leftChars="0"/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bookmarkStart w:id="0" w:name="_Toc30075"/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3E7433F5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2019-04-13T06:15:53Z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