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sz w:val="72"/>
                <w:szCs w:val="72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-647065</wp:posOffset>
                  </wp:positionH>
                  <wp:positionV relativeFrom="page">
                    <wp:posOffset>-704850</wp:posOffset>
                  </wp:positionV>
                  <wp:extent cx="5369560" cy="7552690"/>
                  <wp:effectExtent l="0" t="0" r="2540" b="1016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9560" cy="75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土壤PH变送器</w:t>
            </w: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PH_LoRa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447699485"/>
      <w:bookmarkStart w:id="1" w:name="_Toc9570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bookmarkEnd w:id="0"/>
    <w:bookmarkEnd w:id="1"/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r>
        <w:rPr>
          <w:sz w:val="36"/>
          <w:szCs w:val="36"/>
        </w:rPr>
        <w:t>产品简介</w:t>
      </w:r>
    </w:p>
    <w:p>
      <w:pPr>
        <w:pStyle w:val="3"/>
      </w:pPr>
      <w:r>
        <w:t>产品概述</w:t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eastAsia="zh-CN"/>
        </w:rPr>
        <w:t>我司自主研发的</w:t>
      </w:r>
      <w:r>
        <w:rPr>
          <w:rFonts w:hint="eastAsia" w:ascii="宋体" w:hAnsi="宋体" w:cs="宋体"/>
          <w:lang w:val="en-US" w:eastAsia="zh-CN"/>
        </w:rPr>
        <w:t>LoRa</w:t>
      </w:r>
      <w:r>
        <w:rPr>
          <w:rFonts w:hint="eastAsia" w:ascii="宋体" w:hAnsi="宋体" w:eastAsia="宋体"/>
        </w:rPr>
        <w:t>设备体积小、一体化</w:t>
      </w:r>
      <w:r>
        <w:rPr>
          <w:rFonts w:hint="eastAsia" w:ascii="宋体" w:hAnsi="宋体" w:eastAsia="宋体"/>
          <w:lang w:val="en-US" w:eastAsia="zh-CN"/>
        </w:rPr>
        <w:t>集成的</w:t>
      </w:r>
      <w:r>
        <w:rPr>
          <w:rFonts w:hint="eastAsia" w:ascii="宋体" w:hAnsi="宋体" w:eastAsia="宋体"/>
          <w:color w:val="000000"/>
        </w:rPr>
        <w:t>特</w:t>
      </w:r>
      <w:r>
        <w:rPr>
          <w:rFonts w:hint="eastAsia" w:ascii="宋体" w:hAnsi="宋体" w:eastAsia="宋体"/>
        </w:rPr>
        <w:t>点，运输、携带</w:t>
      </w:r>
      <w:r>
        <w:rPr>
          <w:rFonts w:hint="eastAsia" w:ascii="宋体" w:hAnsi="宋体" w:eastAsia="宋体"/>
          <w:lang w:val="en-US" w:eastAsia="zh-CN"/>
        </w:rPr>
        <w:t>和</w:t>
      </w:r>
      <w:r>
        <w:rPr>
          <w:rFonts w:hint="eastAsia" w:ascii="宋体" w:hAnsi="宋体" w:eastAsia="宋体"/>
        </w:rPr>
        <w:t>安装</w:t>
      </w:r>
      <w:r>
        <w:rPr>
          <w:rFonts w:hint="eastAsia" w:ascii="宋体" w:hAnsi="宋体" w:eastAsia="宋体"/>
          <w:lang w:val="en-US" w:eastAsia="zh-CN"/>
        </w:rPr>
        <w:t>方便</w:t>
      </w:r>
      <w:r>
        <w:rPr>
          <w:rFonts w:hint="eastAsia" w:ascii="宋体" w:hAnsi="宋体" w:eastAsia="宋体"/>
        </w:rPr>
        <w:t>、</w:t>
      </w:r>
      <w:r>
        <w:rPr>
          <w:rFonts w:hint="eastAsia" w:ascii="宋体" w:hAnsi="宋体" w:eastAsia="宋体"/>
          <w:lang w:val="en-US" w:eastAsia="zh-CN"/>
        </w:rPr>
        <w:t>可随时</w:t>
      </w:r>
      <w:r>
        <w:rPr>
          <w:rFonts w:hint="eastAsia" w:ascii="宋体" w:hAnsi="宋体" w:eastAsia="宋体"/>
        </w:rPr>
        <w:t>动态调整位置方便，设备外观、工作条件、安全要求、功能要求及通讯要求均</w:t>
      </w:r>
      <w:r>
        <w:rPr>
          <w:rFonts w:hint="eastAsia" w:ascii="宋体" w:hAnsi="宋体" w:eastAsia="宋体"/>
          <w:lang w:eastAsia="zh-CN"/>
        </w:rPr>
        <w:t>可适应不同的测量环境。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土壤PH</w:t>
      </w:r>
      <w:r>
        <w:rPr>
          <w:rFonts w:hAnsi="宋体"/>
        </w:rPr>
        <w:t>变送器广泛适用于</w:t>
      </w:r>
      <w:r>
        <w:rPr>
          <w:rFonts w:hint="eastAsia" w:hAnsi="宋体"/>
          <w:lang w:val="en-US" w:eastAsia="zh-CN"/>
        </w:rPr>
        <w:t>土壤</w:t>
      </w:r>
      <w:r>
        <w:rPr>
          <w:rFonts w:hint="eastAsia" w:hAnsi="宋体"/>
        </w:rPr>
        <w:t>酸碱度检测</w:t>
      </w:r>
      <w:r>
        <w:rPr>
          <w:rFonts w:hAnsi="宋体"/>
        </w:rPr>
        <w:t>等需要</w:t>
      </w:r>
      <w:r>
        <w:rPr>
          <w:rFonts w:hint="eastAsia" w:hAnsi="宋体"/>
        </w:rPr>
        <w:t>PH值</w:t>
      </w:r>
      <w:r>
        <w:rPr>
          <w:rFonts w:hAnsi="宋体"/>
        </w:rPr>
        <w:t>监测的场合。传感器内输入电源，感应探头，信号输出三部分完全隔离。安全可靠，外观美观，安装方便。</w:t>
      </w:r>
      <w:r>
        <w:rPr>
          <w:rFonts w:hint="eastAsia" w:hAnsi="宋体"/>
          <w:lang w:eastAsia="zh-CN"/>
        </w:rPr>
        <w:t>适用于农业种植、工业生产、环境监测、畜牧养殖以及污水处理的领域。</w:t>
      </w:r>
    </w:p>
    <w:p>
      <w:pPr>
        <w:pStyle w:val="4"/>
        <w:ind w:left="0" w:leftChars="0" w:firstLine="0" w:firstLineChars="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3"/>
      </w:pPr>
      <w:bookmarkStart w:id="2" w:name="_Toc27250"/>
      <w:bookmarkStart w:id="3" w:name="_Toc447699487"/>
      <w:r>
        <w:t>功能特点</w:t>
      </w:r>
      <w:bookmarkEnd w:id="2"/>
      <w:bookmarkEnd w:id="3"/>
    </w:p>
    <w:p>
      <w:pPr>
        <w:pStyle w:val="4"/>
        <w:spacing w:line="320" w:lineRule="exact"/>
        <w:rPr>
          <w:rFonts w:hAnsi="宋体"/>
          <w:szCs w:val="24"/>
        </w:rPr>
      </w:pPr>
      <w:bookmarkStart w:id="4" w:name="_Toc28848"/>
      <w:r>
        <w:rPr>
          <w:rFonts w:hAnsi="宋体"/>
          <w:szCs w:val="24"/>
        </w:rPr>
        <w:t>本产品</w:t>
      </w:r>
      <w:r>
        <w:rPr>
          <w:rFonts w:hint="eastAsia" w:hAnsi="宋体"/>
          <w:szCs w:val="24"/>
        </w:rPr>
        <w:t>探头采用PH电极</w:t>
      </w:r>
      <w:r>
        <w:rPr>
          <w:rFonts w:hAnsi="宋体"/>
          <w:szCs w:val="24"/>
        </w:rPr>
        <w:t>，信号稳定，精度高。具有测量范围宽、线形度好、防水性能好、使用方便、便于安装、传输距离远等特点。</w:t>
      </w:r>
    </w:p>
    <w:p>
      <w:pPr>
        <w:pStyle w:val="3"/>
      </w:pPr>
      <w:r>
        <w:rPr>
          <w:rFonts w:hint="eastAsia" w:ascii="黑体" w:hAnsi="黑体" w:cs="黑体"/>
          <w:lang w:val="en-US" w:eastAsia="zh-CN"/>
        </w:rPr>
        <w:t>LoRa特性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传输距离：城镇可达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 xml:space="preserve"> Km ，郊区可达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Km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工作频率：ISM 频段 包括4</w:t>
      </w:r>
      <w:r>
        <w:rPr>
          <w:rFonts w:hint="eastAsia"/>
          <w:lang w:val="en-US" w:eastAsia="zh-CN"/>
        </w:rPr>
        <w:t>70-510</w:t>
      </w:r>
      <w:r>
        <w:rPr>
          <w:rFonts w:hint="eastAsia"/>
          <w:lang w:eastAsia="zh-CN"/>
        </w:rPr>
        <w:t xml:space="preserve"> MH</w:t>
      </w:r>
      <w:r>
        <w:rPr>
          <w:rFonts w:hint="eastAsia"/>
          <w:lang w:val="en-US" w:eastAsia="zh-CN"/>
        </w:rPr>
        <w:t>Z</w:t>
      </w:r>
      <w:r>
        <w:rPr>
          <w:rFonts w:hint="eastAsia"/>
          <w:lang w:eastAsia="zh-CN"/>
        </w:rPr>
        <w:t>等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标准：IEEE 802.15.4g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调制方式：基于扩频技术，semtech公司私有专利技术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容量：一个网关可以连接上千上万个LoRa节点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安全：AES128加密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Ansi="宋体"/>
          <w:szCs w:val="24"/>
        </w:rPr>
      </w:pPr>
      <w:r>
        <w:rPr>
          <w:rFonts w:hint="eastAsia"/>
          <w:lang w:eastAsia="zh-CN"/>
        </w:rPr>
        <w:t>传输速率：几百到几十Kbps，速率越低传输距离越长</w:t>
      </w:r>
    </w:p>
    <w:p>
      <w:pPr>
        <w:pStyle w:val="3"/>
        <w:spacing w:before="20" w:after="20"/>
        <w:ind w:left="578" w:hanging="578"/>
      </w:pPr>
      <w:r>
        <w:rPr>
          <w:rFonts w:hint="eastAsia"/>
          <w:lang w:val="en-US" w:eastAsia="zh-CN"/>
        </w:rPr>
        <w:t>LoRa</w:t>
      </w:r>
      <w:r>
        <w:rPr>
          <w:rFonts w:hint="eastAsia"/>
          <w:lang w:eastAsia="zh-CN"/>
        </w:rPr>
        <w:t>产品优势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成本低、覆盖广、低功耗、寿命长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一致、稳定、可靠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传输距离远、信号强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部署服务灵活性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电池续航、使用寿命长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一种物理层的调制技术，可将其用于不同的协议中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安全性、保密性好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rPr>
          <w:rFonts w:hint="eastAsia"/>
          <w:lang w:val="en-US" w:eastAsia="zh-CN"/>
        </w:rPr>
        <w:t>产品</w:t>
      </w:r>
      <w:r>
        <w:t>参数</w:t>
      </w:r>
      <w:bookmarkEnd w:id="4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t>Lo</w:t>
      </w:r>
      <w:r>
        <w:rPr>
          <w:rFonts w:hint="eastAsia"/>
          <w:lang w:val="en-US" w:eastAsia="zh-CN"/>
        </w:rPr>
        <w:t>R</w:t>
      </w:r>
      <w:r>
        <w:t>a</w:t>
      </w:r>
      <w:r>
        <w:rPr>
          <w:rFonts w:hint="eastAsia"/>
          <w:lang w:val="en-US" w:eastAsia="zh-CN"/>
        </w:rPr>
        <w:t>通讯</w:t>
      </w:r>
      <w:bookmarkStart w:id="8" w:name="_GoBack"/>
      <w:bookmarkEnd w:id="8"/>
      <w:r>
        <w:t>参数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供电方式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内置锂电池或12V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470-510</w:t>
            </w:r>
            <w:r>
              <w:rPr>
                <w:rFonts w:ascii="宋体" w:hAnsi="宋体" w:cs="宋体"/>
                <w:color w:val="000000"/>
              </w:rPr>
              <w:t>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1000</w:t>
            </w:r>
            <w:r>
              <w:rPr>
                <w:rFonts w:hint="eastAsia" w:ascii="宋体" w:hAnsi="宋体" w:cs="宋体"/>
                <w:color w:val="000000"/>
              </w:rPr>
              <w:t>米（默认）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/3km</w:t>
            </w:r>
            <w:r>
              <w:rPr>
                <w:rFonts w:hint="eastAsia" w:ascii="宋体" w:hAnsi="宋体" w:cs="宋体"/>
                <w:color w:val="000000"/>
              </w:rPr>
              <w:t>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Lo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R</w:t>
            </w:r>
            <w:r>
              <w:rPr>
                <w:rFonts w:hint="eastAsia" w:ascii="宋体" w:hAnsi="宋体" w:cs="宋体"/>
                <w:color w:val="000000"/>
              </w:rPr>
              <w:t>a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私有协议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工作温度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工作湿度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探头</w:t>
      </w:r>
      <w:r>
        <w:rPr>
          <w:rFonts w:hint="eastAsia"/>
        </w:rPr>
        <w:t>参数</w:t>
      </w:r>
    </w:p>
    <w:tbl>
      <w:tblPr>
        <w:tblStyle w:val="38"/>
        <w:tblW w:w="6595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参数名称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000000"/>
              </w:rPr>
              <w:t>测量精度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/>
                <w:b w:val="0"/>
                <w:bCs w:val="0"/>
                <w:color w:val="000000"/>
              </w:rPr>
              <w:t>±0.</w:t>
            </w: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3</w:t>
            </w:r>
            <w:r>
              <w:rPr>
                <w:rFonts w:hint="eastAsia"/>
                <w:b w:val="0"/>
                <w:bCs w:val="0"/>
                <w:color w:val="000000"/>
              </w:rPr>
              <w:t>pH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000000"/>
              </w:rPr>
              <w:t>PH测量范围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3-9</w:t>
            </w:r>
            <w:r>
              <w:rPr>
                <w:rFonts w:hint="eastAsia"/>
                <w:b w:val="0"/>
                <w:bCs w:val="0"/>
                <w:color w:val="000000"/>
              </w:rPr>
              <w:t>pH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</w:rPr>
            </w:pPr>
            <w:r>
              <w:rPr>
                <w:b/>
                <w:bCs/>
                <w:color w:val="000000"/>
              </w:rPr>
              <w:t>长期稳定性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b w:val="0"/>
                <w:bCs w:val="0"/>
                <w:color w:val="000000"/>
              </w:rPr>
              <w:t>≤5%/y</w:t>
            </w:r>
            <w:r>
              <w:rPr>
                <w:rFonts w:hint="eastAsia"/>
                <w:b w:val="0"/>
                <w:bCs w:val="0"/>
                <w:color w:val="000000"/>
                <w:lang w:val="en-US" w:eastAsia="zh-CN"/>
              </w:rPr>
              <w:t>ear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工作温度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/>
                <w:b w:val="0"/>
                <w:bCs w:val="0"/>
              </w:rPr>
              <w:t>0-</w:t>
            </w:r>
            <w:r>
              <w:rPr>
                <w:rFonts w:hint="eastAsia"/>
                <w:b w:val="0"/>
                <w:bCs w:val="0"/>
                <w:lang w:val="en-US" w:eastAsia="zh-CN"/>
              </w:rPr>
              <w:t>5</w:t>
            </w:r>
            <w:r>
              <w:rPr>
                <w:rFonts w:hint="eastAsia"/>
                <w:b w:val="0"/>
                <w:bCs w:val="0"/>
              </w:rPr>
              <w:t>5℃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响应速度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r>
              <w:rPr>
                <w:rFonts w:hint="eastAsia"/>
                <w:b w:val="0"/>
                <w:bCs w:val="0"/>
                <w:lang w:val="en-US" w:eastAsia="zh-CN"/>
              </w:rPr>
              <w:t>&lt;</w:t>
            </w:r>
            <w:r>
              <w:rPr>
                <w:rFonts w:hint="eastAsia"/>
                <w:b w:val="0"/>
                <w:bCs w:val="0"/>
              </w:rPr>
              <w:t>1s</w:t>
            </w:r>
          </w:p>
        </w:tc>
      </w:tr>
    </w:tbl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bookmarkStart w:id="5" w:name="_Toc14200"/>
      <w:r>
        <w:rPr>
          <w:sz w:val="36"/>
          <w:szCs w:val="36"/>
        </w:rPr>
        <w:t>硬件连接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578" w:hanging="578"/>
        <w:textAlignment w:val="auto"/>
      </w:pPr>
      <w:r>
        <w:t>设备安装前检查</w:t>
      </w:r>
    </w:p>
    <w:p>
      <w:pPr>
        <w:ind w:firstLine="480" w:firstLineChars="193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  <w:color w:val="000000"/>
                <w:lang w:val="en-US" w:eastAsia="zh-CN"/>
              </w:rPr>
              <w:t>内置锂电池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L</w:t>
            </w: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oRa贯桥云盒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</w:t>
            </w: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个</w:t>
            </w: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12V 电适配器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1个（选配）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21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  <w:bookmarkEnd w:id="5"/>
    </w:tbl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Cs w:val="22"/>
          <w:lang w:eastAsia="zh-CN"/>
        </w:rPr>
      </w:pPr>
      <w:r>
        <w:drawing>
          <wp:inline distT="0" distB="0" distL="114300" distR="114300">
            <wp:extent cx="2786380" cy="2251075"/>
            <wp:effectExtent l="0" t="0" r="13970" b="15875"/>
            <wp:docPr id="1" name="图片 1" descr="E:\沈恺斌\说明书\说明书\LORA\2\111.jpg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沈恺斌\说明书\说明书\LORA\2\111.jpg111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642360" cy="2033270"/>
            <wp:effectExtent l="0" t="0" r="15240" b="5080"/>
            <wp:docPr id="6" name="图片 1" descr="E:\沈恺斌\说明书\说明书\LORA\2\222.jpg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E:\沈恺斌\说明书\说明书\LORA\2\222.jpg222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236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256790" cy="1823085"/>
            <wp:effectExtent l="0" t="0" r="10160" b="5715"/>
            <wp:docPr id="3" name="图片 2" descr="E:\沈恺斌\说明书\说明书-苗宇\LORA\电源版\土壤PH-1.jpg土壤PH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E:\沈恺斌\说明书\说明书-苗宇\LORA\电源版\土壤PH-1.jpg土壤PH-1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18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</w:rPr>
      </w:pPr>
      <w:r>
        <w:drawing>
          <wp:inline distT="0" distB="0" distL="114300" distR="114300">
            <wp:extent cx="3690620" cy="2060575"/>
            <wp:effectExtent l="0" t="0" r="5080" b="15875"/>
            <wp:docPr id="4" name="图片 3" descr="E:\沈恺斌\说明书\说明书-苗宇\LORA\电源版\土壤PH-2.jpg土壤PH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E:\沈恺斌\说明书\说明书-苗宇\LORA\电源版\土壤PH-2.jpg土壤PH-2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0620" cy="206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6" w:name="_Toc13435"/>
      <w:r>
        <w:rPr>
          <w:rFonts w:hint="eastAsia"/>
        </w:rPr>
        <w:t>设备安装</w:t>
      </w:r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spacing w:line="240" w:lineRule="auto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750310" cy="1475740"/>
            <wp:effectExtent l="0" t="0" r="2540" b="10160"/>
            <wp:docPr id="8" name="图片 8" descr="水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水浸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5031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  <w:r>
        <w:rPr>
          <w:rFonts w:hint="eastAsia"/>
          <w:color w:val="000000"/>
          <w:lang w:eastAsia="zh-CN"/>
        </w:rPr>
        <w:t>。</w:t>
      </w:r>
    </w:p>
    <w:p>
      <w:pPr>
        <w:pStyle w:val="3"/>
        <w:rPr>
          <w:rFonts w:hint="eastAsia" w:ascii="黑体" w:hAnsi="黑体" w:cs="黑体"/>
        </w:rPr>
      </w:pPr>
      <w:bookmarkStart w:id="7" w:name="_Toc139"/>
      <w:r>
        <w:rPr>
          <w:rFonts w:hint="eastAsia" w:ascii="黑体" w:hAnsi="黑体" w:cs="黑体"/>
          <w:lang w:eastAsia="zh-CN"/>
        </w:rPr>
        <w:t>使用说明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</w:rPr>
        <w:t>如果您也购买了我司的LoRa贯桥云盒，首先使用我司配送的12V电源适配器给贯桥云盒供电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若传感器是电源供电版本，需要使用我司配送的电源适配器，供电即可；若是电池供电版本，只需按下传感器上的“电源”按键开关即可。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前两步完成后，</w:t>
      </w:r>
      <w:r>
        <w:rPr>
          <w:rFonts w:hint="eastAsia"/>
        </w:rPr>
        <w:t>传感器和贯桥云盒之间通过无线模块建立连接，等待几分钟，使用传感器专有的ID，在我司服务器即可查看数据。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注：传感器和贯桥云盒连接的建立时间和信号、距离以及传感器默认的上报时间相关</w:t>
      </w:r>
    </w:p>
    <w:bookmarkEnd w:id="7"/>
    <w:p>
      <w:pPr>
        <w:pStyle w:val="3"/>
        <w:rPr>
          <w:rFonts w:hint="eastAsia"/>
        </w:rPr>
      </w:pPr>
      <w:r>
        <w:rPr>
          <w:rFonts w:hint="eastAsia"/>
        </w:rPr>
        <w:t>安装事宜</w:t>
      </w:r>
      <w:bookmarkEnd w:id="6"/>
    </w:p>
    <w:p>
      <w:pPr>
        <w:pStyle w:val="4"/>
        <w:numPr>
          <w:ilvl w:val="0"/>
          <w:numId w:val="0"/>
        </w:numPr>
        <w:spacing w:line="320" w:lineRule="exact"/>
        <w:ind w:left="498"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）避开石块，确保钢针不会碰到坚硬的物体</w:t>
      </w:r>
    </w:p>
    <w:p>
      <w:pPr>
        <w:pStyle w:val="4"/>
        <w:numPr>
          <w:ilvl w:val="0"/>
          <w:numId w:val="0"/>
        </w:numPr>
        <w:spacing w:line="320" w:lineRule="exact"/>
        <w:ind w:left="498"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）传感器插入土壤中，不可左右晃动</w:t>
      </w:r>
    </w:p>
    <w:p>
      <w:pPr>
        <w:pStyle w:val="4"/>
        <w:numPr>
          <w:ilvl w:val="0"/>
          <w:numId w:val="0"/>
        </w:numPr>
        <w:spacing w:line="320" w:lineRule="exact"/>
        <w:ind w:left="498"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）传感器插入坑壁时，需要填埋严实</w:t>
      </w:r>
    </w:p>
    <w:p>
      <w:pPr>
        <w:pStyle w:val="4"/>
        <w:numPr>
          <w:ilvl w:val="0"/>
          <w:numId w:val="0"/>
        </w:numPr>
        <w:spacing w:line="320" w:lineRule="exact"/>
        <w:ind w:firstLine="498" w:firstLineChars="200"/>
        <w:rPr>
          <w:rFonts w:hint="eastAsia"/>
          <w:lang w:eastAsia="zh-CN"/>
        </w:rPr>
      </w:pP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lang w:val="en-US" w:eastAsia="zh-CN"/>
        </w:rPr>
        <w:t>4</w:t>
      </w:r>
      <w:r>
        <w:rPr>
          <w:rFonts w:hint="eastAsia" w:ascii="宋体" w:hAnsi="宋体" w:cs="宋体"/>
          <w:lang w:eastAsia="zh-CN"/>
        </w:rPr>
        <w:t>）</w:t>
      </w:r>
      <w:r>
        <w:rPr>
          <w:rFonts w:hint="eastAsia" w:ascii="宋体" w:hAnsi="宋体" w:cs="宋体"/>
        </w:rPr>
        <w:t>避免在易于传热且会直接造成与待测区域产生温差的地带安装，否则会造成</w:t>
      </w:r>
      <w:r>
        <w:rPr>
          <w:rFonts w:hint="eastAsia" w:ascii="宋体" w:hAnsi="宋体" w:cs="宋体"/>
          <w:lang w:val="en-US" w:eastAsia="zh-CN"/>
        </w:rPr>
        <w:t>PH</w:t>
      </w:r>
      <w:r>
        <w:rPr>
          <w:rFonts w:hint="eastAsia" w:ascii="宋体" w:hAnsi="宋体" w:cs="宋体"/>
        </w:rPr>
        <w:t>测量不准确</w:t>
      </w:r>
    </w:p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zCs w:val="22"/>
          <w:lang w:eastAsia="zh-CN"/>
        </w:rPr>
        <w:t>使用注意事项</w:t>
      </w:r>
    </w:p>
    <w:p>
      <w:pPr>
        <w:pStyle w:val="4"/>
        <w:numPr>
          <w:ilvl w:val="0"/>
          <w:numId w:val="0"/>
        </w:numPr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选定适合的测量地点，避开石块，确保钢针不会碰到坚硬的物体，按照所需测量深度剖开表层土，保持下面土壤原有的松紧程度，紧握传感器垂直插入土壤，插入时不可左右晃动，一个测点的小范围内建议多次测量求平均值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）垂直挖直径大于</w:t>
      </w:r>
      <w:r>
        <w:rPr>
          <w:rFonts w:hint="eastAsia"/>
          <w:lang w:val="en-US" w:eastAsia="zh-CN"/>
        </w:rPr>
        <w:t>20 厘米的坑，在既定的深度将传感器钢针水平插入坑壁，将坑填埋严实，稳定一段时间后，即可进行连续数天、数月乃至更长时间的测量和记录。</w:t>
      </w:r>
    </w:p>
    <w:p>
      <w:pPr>
        <w:pStyle w:val="5"/>
        <w:bidi w:val="0"/>
        <w:ind w:left="720" w:leftChars="0" w:hanging="7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LoRa贯桥云盒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设备在室外使用，需要放置在比较空旷、无遮挡位置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放置在高4-5米的位置，以增强信号强度和覆盖范围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在室外使用需做好防水处理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贯桥云盒的使用参照使用说明书进行操作</w:t>
      </w:r>
    </w:p>
    <w:p>
      <w:pPr>
        <w:pStyle w:val="5"/>
        <w:bidi w:val="0"/>
        <w:ind w:left="720" w:leftChars="0" w:hanging="720" w:firstLineChars="0"/>
        <w:rPr>
          <w:rFonts w:hint="eastAsia"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LoRa传感器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在室外使用，不能放置在低洼、密闭环境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设备放置在较高位置，增强信号的接收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在室外使用需做好防潮、高温处理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测量时钢针必须全部插入土壤里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避免强烈阳光直接照射到传感器上而导致温度过</w:t>
      </w:r>
      <w:r>
        <w:rPr>
          <w:rFonts w:hint="eastAsia"/>
          <w:spacing w:val="-2"/>
          <w:lang w:val="en-US" w:eastAsia="zh-CN"/>
        </w:rPr>
        <w:t xml:space="preserve">  </w:t>
      </w:r>
      <w:r>
        <w:rPr>
          <w:spacing w:val="-2"/>
        </w:rPr>
        <w:t>高。野外使用注意防雷击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勿暴力折弯钢针，勿用力拉拽传感器引出线，勿摔打或猛烈撞击传感器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pacing w:val="-2"/>
          <w:lang w:val="en-US" w:eastAsia="zh-CN"/>
        </w:rPr>
        <w:t>由于</w:t>
      </w:r>
      <w:r>
        <w:rPr>
          <w:spacing w:val="-2"/>
        </w:rPr>
        <w:t>在空气中存在射频电磁辐射，不宜长时间在空气中处于通电状态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精讯云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</w:t>
      </w:r>
      <w:r>
        <w:rPr>
          <w:rFonts w:hint="eastAsia"/>
          <w:lang w:val="en-US" w:eastAsia="zh-CN"/>
        </w:rPr>
        <w:t>LoRa</w:t>
      </w:r>
      <w:r>
        <w:rPr>
          <w:rFonts w:hint="eastAsia"/>
        </w:rPr>
        <w:t>网络模块</w:t>
      </w:r>
      <w:r>
        <w:rPr>
          <w:rFonts w:hint="eastAsia"/>
          <w:lang w:val="en-US" w:eastAsia="zh-CN"/>
        </w:rPr>
        <w:t>和网关建立连接，网关</w:t>
      </w:r>
      <w:r>
        <w:rPr>
          <w:rFonts w:hint="eastAsia"/>
        </w:rPr>
        <w:t>和精讯云服务器</w:t>
      </w:r>
      <w:r>
        <w:rPr>
          <w:rFonts w:hint="eastAsia"/>
          <w:lang w:val="en-US" w:eastAsia="zh-CN"/>
        </w:rPr>
        <w:t>通过无线网络</w:t>
      </w:r>
      <w:r>
        <w:rPr>
          <w:rFonts w:hint="eastAsia"/>
        </w:rPr>
        <w:t>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 w:eastAsia="宋体"/>
          <w:lang w:eastAsia="zh-CN"/>
        </w:rPr>
      </w:pPr>
      <w:r>
        <w:rPr>
          <w:rFonts w:hint="eastAsia"/>
        </w:rPr>
        <w:t>注：您可联系我司售后工作人员，了解平台的具体功能</w:t>
      </w:r>
      <w:r>
        <w:rPr>
          <w:rFonts w:hint="eastAsia"/>
          <w:lang w:eastAsia="zh-CN"/>
        </w:rPr>
        <w:t>。</w:t>
      </w:r>
    </w:p>
    <w:p>
      <w:pPr>
        <w:ind w:firstLine="498" w:firstLineChars="200"/>
        <w:rPr>
          <w:rFonts w:hint="eastAsia" w:eastAsia="宋体"/>
          <w:lang w:eastAsia="zh-CN"/>
        </w:rPr>
      </w:pPr>
    </w:p>
    <w:p>
      <w:pPr>
        <w:pStyle w:val="4"/>
        <w:ind w:firstLineChars="0"/>
        <w:rPr>
          <w:rFonts w:hint="eastAsia"/>
          <w:lang w:val="en-US"/>
        </w:rPr>
      </w:pPr>
    </w:p>
    <w:p>
      <w:pPr>
        <w:spacing w:line="320" w:lineRule="exact"/>
        <w:ind w:firstLine="498" w:firstLineChars="200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45DABE"/>
    <w:multiLevelType w:val="singleLevel"/>
    <w:tmpl w:val="D645DAB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5895EE1"/>
    <w:multiLevelType w:val="singleLevel"/>
    <w:tmpl w:val="25895EE1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abstractNum w:abstractNumId="4">
    <w:nsid w:val="7F086E66"/>
    <w:multiLevelType w:val="singleLevel"/>
    <w:tmpl w:val="7F086E6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5FB6283"/>
    <w:rsid w:val="06A24D7F"/>
    <w:rsid w:val="076F5F08"/>
    <w:rsid w:val="08C36BBA"/>
    <w:rsid w:val="090C0E49"/>
    <w:rsid w:val="09CD5028"/>
    <w:rsid w:val="0BD900EE"/>
    <w:rsid w:val="0EEC5A9C"/>
    <w:rsid w:val="1228513B"/>
    <w:rsid w:val="12AC280A"/>
    <w:rsid w:val="14396048"/>
    <w:rsid w:val="16B05340"/>
    <w:rsid w:val="1A0755D3"/>
    <w:rsid w:val="1B65407A"/>
    <w:rsid w:val="1E1D1A34"/>
    <w:rsid w:val="1FB55779"/>
    <w:rsid w:val="205F7B12"/>
    <w:rsid w:val="20C365AA"/>
    <w:rsid w:val="21A461A0"/>
    <w:rsid w:val="236B3EFD"/>
    <w:rsid w:val="24CE6DE0"/>
    <w:rsid w:val="250F67FF"/>
    <w:rsid w:val="262027F4"/>
    <w:rsid w:val="26384D6A"/>
    <w:rsid w:val="264C1586"/>
    <w:rsid w:val="27F43A2B"/>
    <w:rsid w:val="292B4709"/>
    <w:rsid w:val="2A761913"/>
    <w:rsid w:val="2BBD73D9"/>
    <w:rsid w:val="2C4A54E4"/>
    <w:rsid w:val="2D8E1A46"/>
    <w:rsid w:val="2E546549"/>
    <w:rsid w:val="313A7956"/>
    <w:rsid w:val="318D5DF1"/>
    <w:rsid w:val="335565E1"/>
    <w:rsid w:val="346930B5"/>
    <w:rsid w:val="35882E67"/>
    <w:rsid w:val="36E84106"/>
    <w:rsid w:val="37F068DE"/>
    <w:rsid w:val="38836831"/>
    <w:rsid w:val="3BF76455"/>
    <w:rsid w:val="3E0C25B9"/>
    <w:rsid w:val="3FF56E19"/>
    <w:rsid w:val="40365928"/>
    <w:rsid w:val="40702162"/>
    <w:rsid w:val="421F7F18"/>
    <w:rsid w:val="42AA5B4D"/>
    <w:rsid w:val="42F92930"/>
    <w:rsid w:val="44B8767B"/>
    <w:rsid w:val="465F20DE"/>
    <w:rsid w:val="48014218"/>
    <w:rsid w:val="48C722E2"/>
    <w:rsid w:val="4A1820A5"/>
    <w:rsid w:val="4AB4670A"/>
    <w:rsid w:val="4BB560A9"/>
    <w:rsid w:val="4C603508"/>
    <w:rsid w:val="4C940639"/>
    <w:rsid w:val="53A72321"/>
    <w:rsid w:val="57552A55"/>
    <w:rsid w:val="59A72C55"/>
    <w:rsid w:val="5AFF20BA"/>
    <w:rsid w:val="5C1F187C"/>
    <w:rsid w:val="5D620359"/>
    <w:rsid w:val="5E0529D6"/>
    <w:rsid w:val="5E7E7451"/>
    <w:rsid w:val="5EA308D7"/>
    <w:rsid w:val="5F447033"/>
    <w:rsid w:val="5FC3108A"/>
    <w:rsid w:val="608012C0"/>
    <w:rsid w:val="62390A19"/>
    <w:rsid w:val="62D76FD6"/>
    <w:rsid w:val="648C5E8C"/>
    <w:rsid w:val="650A0A3E"/>
    <w:rsid w:val="66314540"/>
    <w:rsid w:val="67EA7083"/>
    <w:rsid w:val="69FA1AFE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CD44BF"/>
    <w:rsid w:val="7AD34B82"/>
    <w:rsid w:val="7B6C6C0D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4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8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9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7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7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2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1">
    <w:name w:val="正文文本首行缩进"/>
    <w:basedOn w:val="1"/>
    <w:qFormat/>
    <w:uiPriority w:val="0"/>
    <w:pPr>
      <w:ind w:firstLine="498" w:firstLineChars="200"/>
    </w:pPr>
  </w:style>
  <w:style w:type="character" w:customStyle="1" w:styleId="52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3">
    <w:name w:val="附表二级标题 Char"/>
    <w:basedOn w:val="54"/>
    <w:link w:val="55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4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5">
    <w:name w:val="附表二级标题"/>
    <w:basedOn w:val="3"/>
    <w:link w:val="53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6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7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8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9">
    <w:name w:val="正文首行缩进 字符"/>
    <w:link w:val="4"/>
    <w:qFormat/>
    <w:uiPriority w:val="0"/>
    <w:rPr>
      <w:kern w:val="2"/>
      <w:sz w:val="24"/>
    </w:rPr>
  </w:style>
  <w:style w:type="character" w:customStyle="1" w:styleId="60">
    <w:name w:val="hps"/>
    <w:qFormat/>
    <w:uiPriority w:val="0"/>
  </w:style>
  <w:style w:type="character" w:customStyle="1" w:styleId="6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2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3">
    <w:name w:val="high-light-bg"/>
    <w:basedOn w:val="43"/>
    <w:qFormat/>
    <w:uiPriority w:val="0"/>
  </w:style>
  <w:style w:type="character" w:customStyle="1" w:styleId="64">
    <w:name w:val="apple-converted-space"/>
    <w:basedOn w:val="43"/>
    <w:qFormat/>
    <w:uiPriority w:val="0"/>
  </w:style>
  <w:style w:type="character" w:customStyle="1" w:styleId="65">
    <w:name w:val="hit"/>
    <w:basedOn w:val="43"/>
    <w:qFormat/>
    <w:uiPriority w:val="0"/>
  </w:style>
  <w:style w:type="character" w:customStyle="1" w:styleId="66">
    <w:name w:val="it"/>
    <w:basedOn w:val="43"/>
    <w:qFormat/>
    <w:uiPriority w:val="0"/>
  </w:style>
  <w:style w:type="character" w:customStyle="1" w:styleId="67">
    <w:name w:val="正文文本缩进 字符"/>
    <w:link w:val="17"/>
    <w:qFormat/>
    <w:uiPriority w:val="0"/>
    <w:rPr>
      <w:kern w:val="2"/>
      <w:sz w:val="24"/>
    </w:rPr>
  </w:style>
  <w:style w:type="character" w:customStyle="1" w:styleId="68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9">
    <w:name w:val="txt"/>
    <w:basedOn w:val="43"/>
    <w:qFormat/>
    <w:uiPriority w:val="0"/>
  </w:style>
  <w:style w:type="character" w:customStyle="1" w:styleId="70">
    <w:name w:val="short_text"/>
    <w:qFormat/>
    <w:uiPriority w:val="0"/>
  </w:style>
  <w:style w:type="character" w:customStyle="1" w:styleId="71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2">
    <w:name w:val="videolength"/>
    <w:basedOn w:val="43"/>
    <w:qFormat/>
    <w:uiPriority w:val="0"/>
  </w:style>
  <w:style w:type="character" w:customStyle="1" w:styleId="73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4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5">
    <w:name w:val="封面内容"/>
    <w:basedOn w:val="43"/>
    <w:qFormat/>
    <w:uiPriority w:val="0"/>
    <w:rPr>
      <w:sz w:val="28"/>
    </w:rPr>
  </w:style>
  <w:style w:type="character" w:customStyle="1" w:styleId="76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7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8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9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80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1">
    <w:name w:val="提示 Char"/>
    <w:link w:val="82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2">
    <w:name w:val="提示"/>
    <w:basedOn w:val="1"/>
    <w:link w:val="8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3">
    <w:name w:val="bf"/>
    <w:basedOn w:val="43"/>
    <w:qFormat/>
    <w:uiPriority w:val="0"/>
  </w:style>
  <w:style w:type="character" w:customStyle="1" w:styleId="84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7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1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2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5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7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8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9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100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1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2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3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4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5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7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8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9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1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2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4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5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7">
    <w:name w:val="章标题(不加入目录内)"/>
    <w:basedOn w:val="35"/>
    <w:qFormat/>
    <w:uiPriority w:val="0"/>
    <w:pPr>
      <w:outlineLvl w:val="9"/>
    </w:pPr>
  </w:style>
  <w:style w:type="paragraph" w:customStyle="1" w:styleId="118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9">
    <w:name w:val="Char Char Char Char"/>
    <w:basedOn w:val="1"/>
    <w:qFormat/>
    <w:uiPriority w:val="0"/>
    <w:rPr>
      <w:rFonts w:ascii="Tahoma" w:hAnsi="Tahoma"/>
    </w:rPr>
  </w:style>
  <w:style w:type="paragraph" w:customStyle="1" w:styleId="120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1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2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5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6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7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30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2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3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4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jpe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1</TotalTime>
  <ScaleCrop>false</ScaleCrop>
  <LinksUpToDate>false</LinksUpToDate>
  <CharactersWithSpaces>3169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Admin</cp:lastModifiedBy>
  <cp:lastPrinted>2020-12-23T05:47:00Z</cp:lastPrinted>
  <dcterms:modified xsi:type="dcterms:W3CDTF">2021-01-22T07:19:42Z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2052-11.1.0.10132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