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sz w:val="72"/>
                <w:szCs w:val="72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page">
                    <wp:posOffset>-647065</wp:posOffset>
                  </wp:positionH>
                  <wp:positionV relativeFrom="page">
                    <wp:posOffset>-704850</wp:posOffset>
                  </wp:positionV>
                  <wp:extent cx="5369560" cy="7552690"/>
                  <wp:effectExtent l="0" t="0" r="2540" b="10160"/>
                  <wp:wrapNone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9560" cy="75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土壤电导率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  <w:lang w:val="en-US" w:eastAsia="zh-CN"/>
              </w:rPr>
              <w:t>变送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器</w:t>
            </w: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default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EC_LoRa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type w:val="continuous"/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b/>
          <w:bCs/>
          <w:sz w:val="30"/>
          <w:szCs w:val="30"/>
        </w:rPr>
        <w:t xml:space="preserve"> 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sz w:val="36"/>
          <w:szCs w:val="36"/>
        </w:rPr>
      </w:pPr>
      <w:r>
        <w:rPr>
          <w:sz w:val="36"/>
          <w:szCs w:val="36"/>
        </w:rPr>
        <w:t>产品简介</w:t>
      </w:r>
      <w:bookmarkEnd w:id="0"/>
      <w:bookmarkEnd w:id="1"/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bookmarkStart w:id="2" w:name="_Toc447699486"/>
      <w:bookmarkStart w:id="3" w:name="_Toc9769"/>
      <w:r>
        <w:t>产品概述</w:t>
      </w:r>
      <w:bookmarkEnd w:id="2"/>
      <w:bookmarkEnd w:id="3"/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eastAsia="zh-CN"/>
        </w:rPr>
        <w:t>我司自主研发的</w:t>
      </w:r>
      <w:r>
        <w:rPr>
          <w:rFonts w:hint="eastAsia" w:ascii="宋体" w:hAnsi="宋体" w:cs="宋体"/>
          <w:lang w:val="en-US" w:eastAsia="zh-CN"/>
        </w:rPr>
        <w:t>LoRa</w:t>
      </w:r>
      <w:r>
        <w:rPr>
          <w:rFonts w:hint="eastAsia" w:ascii="宋体" w:hAnsi="宋体" w:eastAsia="宋体"/>
        </w:rPr>
        <w:t>设备体积小、一体化</w:t>
      </w:r>
      <w:r>
        <w:rPr>
          <w:rFonts w:hint="eastAsia" w:ascii="宋体" w:hAnsi="宋体" w:eastAsia="宋体"/>
          <w:lang w:val="en-US" w:eastAsia="zh-CN"/>
        </w:rPr>
        <w:t>集成的</w:t>
      </w:r>
      <w:r>
        <w:rPr>
          <w:rFonts w:hint="eastAsia" w:ascii="宋体" w:hAnsi="宋体" w:eastAsia="宋体"/>
          <w:color w:val="000000"/>
        </w:rPr>
        <w:t>特</w:t>
      </w:r>
      <w:r>
        <w:rPr>
          <w:rFonts w:hint="eastAsia" w:ascii="宋体" w:hAnsi="宋体" w:eastAsia="宋体"/>
        </w:rPr>
        <w:t>点，运输、携带</w:t>
      </w:r>
      <w:r>
        <w:rPr>
          <w:rFonts w:hint="eastAsia" w:ascii="宋体" w:hAnsi="宋体" w:eastAsia="宋体"/>
          <w:lang w:val="en-US" w:eastAsia="zh-CN"/>
        </w:rPr>
        <w:t>和</w:t>
      </w:r>
      <w:r>
        <w:rPr>
          <w:rFonts w:hint="eastAsia" w:ascii="宋体" w:hAnsi="宋体" w:eastAsia="宋体"/>
        </w:rPr>
        <w:t>安装</w:t>
      </w:r>
      <w:r>
        <w:rPr>
          <w:rFonts w:hint="eastAsia" w:ascii="宋体" w:hAnsi="宋体" w:eastAsia="宋体"/>
          <w:lang w:val="en-US" w:eastAsia="zh-CN"/>
        </w:rPr>
        <w:t>方便</w:t>
      </w:r>
      <w:r>
        <w:rPr>
          <w:rFonts w:hint="eastAsia" w:ascii="宋体" w:hAnsi="宋体" w:eastAsia="宋体"/>
        </w:rPr>
        <w:t>、</w:t>
      </w:r>
      <w:r>
        <w:rPr>
          <w:rFonts w:hint="eastAsia" w:ascii="宋体" w:hAnsi="宋体" w:eastAsia="宋体"/>
          <w:lang w:val="en-US" w:eastAsia="zh-CN"/>
        </w:rPr>
        <w:t>可随时</w:t>
      </w:r>
      <w:r>
        <w:rPr>
          <w:rFonts w:hint="eastAsia" w:ascii="宋体" w:hAnsi="宋体" w:eastAsia="宋体"/>
        </w:rPr>
        <w:t>动态调整位置方便，设备外观、工作条件、安全要求、功能要求及通讯要求均</w:t>
      </w:r>
      <w:r>
        <w:rPr>
          <w:rFonts w:hint="eastAsia" w:ascii="宋体" w:hAnsi="宋体" w:eastAsia="宋体"/>
          <w:lang w:eastAsia="zh-CN"/>
        </w:rPr>
        <w:t>可适应不同的测量环境。</w:t>
      </w:r>
    </w:p>
    <w:p>
      <w:pPr>
        <w:ind w:firstLine="560"/>
        <w:rPr>
          <w:rFonts w:hint="eastAsia"/>
          <w:spacing w:val="-96"/>
        </w:rPr>
      </w:pPr>
      <w:r>
        <w:rPr>
          <w:rFonts w:hint="eastAsia"/>
          <w:lang w:val="en-US" w:eastAsia="zh-CN"/>
        </w:rPr>
        <w:t>土壤电导率变送器</w:t>
      </w:r>
      <w:r>
        <w:t>适</w:t>
      </w:r>
      <w:r>
        <w:rPr>
          <w:spacing w:val="-5"/>
        </w:rPr>
        <w:t>用</w:t>
      </w:r>
      <w:r>
        <w:t>于</w:t>
      </w:r>
      <w:r>
        <w:rPr>
          <w:rFonts w:hint="eastAsia"/>
        </w:rPr>
        <w:t>土壤总盐量（电导率）的测量。土壤电导率传感器极大的方便了客户系统的评估土壤情况。</w:t>
      </w:r>
    </w:p>
    <w:p>
      <w:pPr>
        <w:pStyle w:val="4"/>
        <w:spacing w:line="320" w:lineRule="exact"/>
        <w:rPr>
          <w:spacing w:val="-2"/>
        </w:rPr>
      </w:pPr>
      <w:r>
        <w:rPr>
          <w:rFonts w:hint="eastAsia"/>
          <w:spacing w:val="-96"/>
        </w:rPr>
        <w:tab/>
      </w:r>
      <w:r>
        <w:t>经</w:t>
      </w:r>
      <w:r>
        <w:rPr>
          <w:spacing w:val="-5"/>
        </w:rPr>
        <w:t>与</w:t>
      </w:r>
      <w:r>
        <w:t>德国原</w:t>
      </w:r>
      <w:r>
        <w:rPr>
          <w:spacing w:val="-5"/>
        </w:rPr>
        <w:t>装</w:t>
      </w:r>
      <w:r>
        <w:t>高精度</w:t>
      </w:r>
      <w:r>
        <w:rPr>
          <w:spacing w:val="-5"/>
        </w:rPr>
        <w:t>传</w:t>
      </w:r>
      <w:r>
        <w:t>感器比</w:t>
      </w:r>
      <w:r>
        <w:rPr>
          <w:spacing w:val="-5"/>
        </w:rPr>
        <w:t>较</w:t>
      </w:r>
      <w:r>
        <w:rPr>
          <w:spacing w:val="-4"/>
        </w:rPr>
        <w:t>，精度高，响应快，输出稳定。适用于各种土质。可长期埋</w:t>
      </w:r>
      <w:r>
        <w:rPr>
          <w:spacing w:val="-2"/>
        </w:rPr>
        <w:t>入土壤中，耐长期电解，耐腐蚀，抽真空灌封，完全防水。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3"/>
      </w:pPr>
      <w:bookmarkStart w:id="4" w:name="_Toc27250"/>
      <w:bookmarkStart w:id="5" w:name="_Toc447699487"/>
      <w:r>
        <w:t>功能特点</w:t>
      </w:r>
      <w:bookmarkEnd w:id="4"/>
      <w:bookmarkEnd w:id="5"/>
    </w:p>
    <w:p>
      <w:pPr>
        <w:pStyle w:val="4"/>
        <w:spacing w:line="320" w:lineRule="exact"/>
        <w:rPr>
          <w:rFonts w:hAnsi="宋体"/>
          <w:szCs w:val="24"/>
        </w:rPr>
      </w:pPr>
      <w:bookmarkStart w:id="6" w:name="_Toc28848"/>
      <w:r>
        <w:rPr>
          <w:spacing w:val="-4"/>
          <w:kern w:val="2"/>
          <w:lang w:val="en-US" w:eastAsia="zh-CN"/>
        </w:rPr>
        <w:t>广泛适用于科学实验、节水灌溉、温室大棚、花卉蔬菜、草地牧场、土壤速测、植物培养、污水处理、</w:t>
      </w:r>
      <w:r>
        <w:rPr>
          <w:rFonts w:hint="eastAsia"/>
          <w:spacing w:val="-4"/>
          <w:kern w:val="2"/>
          <w:lang w:val="en-US" w:eastAsia="zh-CN"/>
        </w:rPr>
        <w:t>电导率</w:t>
      </w:r>
      <w:r>
        <w:rPr>
          <w:spacing w:val="-4"/>
          <w:kern w:val="2"/>
          <w:lang w:val="en-US" w:eastAsia="zh-CN"/>
        </w:rPr>
        <w:t>的测量。</w:t>
      </w:r>
    </w:p>
    <w:p>
      <w:pPr>
        <w:pStyle w:val="3"/>
      </w:pPr>
      <w:r>
        <w:rPr>
          <w:rFonts w:hint="eastAsia" w:ascii="黑体" w:hAnsi="黑体" w:cs="黑体"/>
          <w:lang w:val="en-US" w:eastAsia="zh-CN"/>
        </w:rPr>
        <w:t>LoRa特性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传输距离：城镇可达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 xml:space="preserve"> Km ，郊区可达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Km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工作频率：ISM 频段 包括4</w:t>
      </w:r>
      <w:r>
        <w:rPr>
          <w:rFonts w:hint="eastAsia"/>
          <w:lang w:val="en-US" w:eastAsia="zh-CN"/>
        </w:rPr>
        <w:t>70-510</w:t>
      </w:r>
      <w:r>
        <w:rPr>
          <w:rFonts w:hint="eastAsia"/>
          <w:lang w:eastAsia="zh-CN"/>
        </w:rPr>
        <w:t xml:space="preserve"> MH</w:t>
      </w:r>
      <w:r>
        <w:rPr>
          <w:rFonts w:hint="eastAsia"/>
          <w:lang w:val="en-US" w:eastAsia="zh-CN"/>
        </w:rPr>
        <w:t>Z</w:t>
      </w:r>
      <w:r>
        <w:rPr>
          <w:rFonts w:hint="eastAsia"/>
          <w:lang w:eastAsia="zh-CN"/>
        </w:rPr>
        <w:t>等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标准：IEEE 802.15.4g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调制方式：基于扩频技术，semtech公司私有专利技术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容量：一个网关可以连接上千上万个LoRa节点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安全：AES128加密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传输速率：几百到几十Kbps，速率越低传输距离越长</w:t>
      </w:r>
    </w:p>
    <w:p>
      <w:pPr>
        <w:pStyle w:val="3"/>
      </w:pPr>
      <w:r>
        <w:rPr>
          <w:rFonts w:hint="eastAsia" w:ascii="黑体" w:hAnsi="黑体" w:cs="黑体"/>
          <w:lang w:val="en-US" w:eastAsia="zh-CN"/>
        </w:rPr>
        <w:t>LoRa产品优势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成本低、覆盖广、低功耗、寿命长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一致、稳定、可靠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传输距离远、信号强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部署服务灵活性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  <w:lang w:eastAsia="zh-CN"/>
        </w:rPr>
        <w:t>电池续航、使用寿命长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</w:rPr>
      </w:pPr>
      <w:r>
        <w:rPr>
          <w:rFonts w:hint="eastAsia"/>
        </w:rPr>
        <w:t>一种物理层的调制技术，可将其用于不同的协议中</w:t>
      </w:r>
    </w:p>
    <w:p>
      <w:pPr>
        <w:pStyle w:val="4"/>
        <w:numPr>
          <w:ilvl w:val="0"/>
          <w:numId w:val="2"/>
        </w:numPr>
        <w:spacing w:line="320" w:lineRule="exact"/>
        <w:ind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安全性、保密性好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</w:pPr>
      <w:r>
        <w:rPr>
          <w:rFonts w:hint="eastAsia"/>
          <w:lang w:val="en-US" w:eastAsia="zh-CN"/>
        </w:rPr>
        <w:t>产品</w:t>
      </w:r>
      <w:r>
        <w:t>参数</w:t>
      </w:r>
      <w:bookmarkEnd w:id="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t>Lo</w:t>
      </w:r>
      <w:r>
        <w:rPr>
          <w:rFonts w:hint="eastAsia"/>
          <w:lang w:val="en-US" w:eastAsia="zh-CN"/>
        </w:rPr>
        <w:t>R</w:t>
      </w:r>
      <w:r>
        <w:t>a</w:t>
      </w:r>
      <w:r>
        <w:rPr>
          <w:rFonts w:hint="eastAsia"/>
          <w:lang w:val="en-US" w:eastAsia="zh-CN"/>
        </w:rPr>
        <w:t>通讯</w:t>
      </w:r>
      <w:bookmarkStart w:id="10" w:name="_GoBack"/>
      <w:bookmarkEnd w:id="10"/>
      <w:r>
        <w:t>参数</w:t>
      </w:r>
    </w:p>
    <w:tbl>
      <w:tblPr>
        <w:tblStyle w:val="37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供电方式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内置锂电池或12V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top w:val="nil"/>
              <w:left w:val="nil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470-510</w:t>
            </w:r>
            <w:r>
              <w:rPr>
                <w:rFonts w:ascii="宋体" w:hAnsi="宋体" w:cs="宋体"/>
                <w:color w:val="000000"/>
              </w:rPr>
              <w:t>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1000</w:t>
            </w:r>
            <w:r>
              <w:rPr>
                <w:rFonts w:hint="eastAsia" w:ascii="宋体" w:hAnsi="宋体" w:cs="宋体"/>
                <w:color w:val="000000"/>
              </w:rPr>
              <w:t>米（默认）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/3km</w:t>
            </w:r>
            <w:r>
              <w:rPr>
                <w:rFonts w:hint="eastAsia" w:ascii="宋体" w:hAnsi="宋体" w:cs="宋体"/>
                <w:color w:val="000000"/>
              </w:rPr>
              <w:t>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Lo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R</w:t>
            </w:r>
            <w:r>
              <w:rPr>
                <w:rFonts w:hint="eastAsia" w:ascii="宋体" w:hAnsi="宋体" w:cs="宋体"/>
                <w:color w:val="000000"/>
              </w:rPr>
              <w:t>a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私有协议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工作温度</w:t>
            </w:r>
          </w:p>
        </w:tc>
        <w:tc>
          <w:tcPr>
            <w:tcW w:w="4665" w:type="dxa"/>
            <w:tcBorders>
              <w:top w:val="nil"/>
              <w:bottom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-20~50℃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工作湿度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0~95%（相对湿度）、无凝结</w:t>
            </w:r>
          </w:p>
        </w:tc>
      </w:tr>
    </w:tbl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</w:pPr>
      <w:r>
        <w:rPr>
          <w:rFonts w:hint="eastAsia"/>
          <w:lang w:val="en-US" w:eastAsia="zh-CN"/>
        </w:rPr>
        <w:t>探头</w:t>
      </w:r>
      <w:r>
        <w:rPr>
          <w:rFonts w:hint="eastAsia"/>
        </w:rPr>
        <w:t>参数</w:t>
      </w:r>
    </w:p>
    <w:tbl>
      <w:tblPr>
        <w:tblStyle w:val="38"/>
        <w:tblW w:w="6595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6"/>
        <w:gridCol w:w="4149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参数</w:t>
            </w:r>
          </w:p>
        </w:tc>
        <w:tc>
          <w:tcPr>
            <w:tcW w:w="4149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电导率测量范围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0-10000us/cm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电导率分辨率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eastAsia="宋体"/>
                <w:b w:val="0"/>
                <w:bCs w:val="0"/>
                <w:lang w:eastAsia="zh-CN"/>
              </w:rPr>
            </w:pPr>
            <w:r>
              <w:rPr>
                <w:rFonts w:hint="eastAsia"/>
                <w:b w:val="0"/>
                <w:bCs w:val="0"/>
              </w:rPr>
              <w:t>10us/cm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响应时间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&lt;1s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安装方式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全部埋入或探针全部插入被测介质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highlight w:val="none"/>
                <w:lang w:val="en-US" w:eastAsia="zh-CN"/>
              </w:rPr>
              <w:t>工作温度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 w:val="0"/>
                <w:bCs w:val="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highlight w:val="none"/>
                <w:lang w:val="en-US" w:eastAsia="zh-CN"/>
              </w:rPr>
              <w:t>5至45℃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highlight w:val="none"/>
                <w:lang w:val="en-US" w:eastAsia="zh-CN"/>
              </w:rPr>
              <w:t>工作湿度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 w:val="0"/>
                <w:bCs w:val="0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highlight w:val="none"/>
                <w:lang w:val="en-US" w:eastAsia="zh-CN"/>
              </w:rPr>
              <w:t>5至95%（相对湿度）、无凝结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b/>
              </w:rPr>
              <w:t>防护等级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IP68 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46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4149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rPr>
                <w:rFonts w:hint="eastAsia" w:ascii="宋体" w:hAnsi="宋体" w:cs="宋体"/>
                <w:b w:val="0"/>
                <w:bCs w:val="0"/>
              </w:rPr>
            </w:pPr>
            <w:r>
              <w:rPr>
                <w:rFonts w:hint="eastAsia"/>
                <w:b w:val="0"/>
                <w:bCs w:val="0"/>
              </w:rPr>
              <w:t>0.9-1.1atm</w:t>
            </w:r>
          </w:p>
        </w:tc>
      </w:tr>
    </w:tbl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sz w:val="36"/>
          <w:szCs w:val="36"/>
        </w:rPr>
      </w:pPr>
      <w:bookmarkStart w:id="7" w:name="_Toc14200"/>
      <w:r>
        <w:rPr>
          <w:sz w:val="36"/>
          <w:szCs w:val="36"/>
        </w:rPr>
        <w:t>硬件连接</w:t>
      </w:r>
    </w:p>
    <w:bookmarkEnd w:id="7"/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578" w:hanging="578"/>
        <w:textAlignment w:val="auto"/>
      </w:pPr>
      <w:bookmarkStart w:id="8" w:name="_Toc20338"/>
      <w:r>
        <w:t>设备安装前检查</w:t>
      </w:r>
      <w:bookmarkEnd w:id="8"/>
    </w:p>
    <w:p>
      <w:pPr>
        <w:ind w:firstLine="480" w:firstLineChars="193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安装设备前请检查设备清单：</w:t>
      </w:r>
    </w:p>
    <w:p>
      <w:pPr>
        <w:ind w:firstLine="480" w:firstLineChars="193"/>
        <w:jc w:val="left"/>
        <w:rPr>
          <w:rFonts w:hint="eastAsia" w:ascii="宋体" w:hAnsi="宋体"/>
        </w:rPr>
      </w:pPr>
    </w:p>
    <w:tbl>
      <w:tblPr>
        <w:tblStyle w:val="38"/>
        <w:tblW w:w="4536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  <w:bCs w:val="0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名称</w:t>
            </w:r>
          </w:p>
        </w:tc>
        <w:tc>
          <w:tcPr>
            <w:tcW w:w="2195" w:type="dxa"/>
            <w:tcBorders>
              <w:bottom w:val="single" w:color="auto" w:sz="4" w:space="0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  <w:bCs w:val="0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  <w:color w:val="000000"/>
                <w:lang w:val="en-US" w:eastAsia="zh-CN"/>
              </w:rPr>
              <w:t>内置锂电池</w:t>
            </w:r>
          </w:p>
        </w:tc>
        <w:tc>
          <w:tcPr>
            <w:tcW w:w="21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L</w:t>
            </w: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oRa贯桥云盒</w:t>
            </w:r>
          </w:p>
        </w:tc>
        <w:tc>
          <w:tcPr>
            <w:tcW w:w="21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</w:t>
            </w: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个</w:t>
            </w: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（选配）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  <w:t>12V 电适配器</w:t>
            </w:r>
          </w:p>
        </w:tc>
        <w:tc>
          <w:tcPr>
            <w:tcW w:w="21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</w:pPr>
            <w:r>
              <w:rPr>
                <w:rFonts w:ascii="Cambria" w:hAnsi="Cambria"/>
                <w:color w:val="000000"/>
                <w:szCs w:val="24"/>
                <w:lang w:val="en-US" w:eastAsia="zh-CN"/>
              </w:rPr>
              <w:t>1个（选配）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ascii="Cambria" w:hAnsi="Cambria"/>
                <w:b/>
                <w:bCs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b/>
                <w:bCs/>
                <w:color w:val="000000"/>
                <w:szCs w:val="24"/>
                <w:lang w:val="en-US" w:eastAsia="zh-CN"/>
              </w:rPr>
              <w:t>保修卡/合格证</w:t>
            </w:r>
          </w:p>
        </w:tc>
        <w:tc>
          <w:tcPr>
            <w:tcW w:w="21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4"/>
              <w:ind w:firstLine="0" w:firstLineChars="0"/>
              <w:rPr>
                <w:rFonts w:ascii="Cambria" w:hAnsi="Cambria"/>
                <w:color w:val="000000"/>
                <w:szCs w:val="24"/>
                <w:lang w:val="en-US" w:eastAsia="zh-CN"/>
              </w:rPr>
            </w:pPr>
            <w:r>
              <w:rPr>
                <w:rFonts w:hint="eastAsia" w:ascii="Cambria" w:hAnsi="Cambria"/>
                <w:color w:val="000000"/>
                <w:szCs w:val="24"/>
                <w:lang w:val="en-US" w:eastAsia="zh-CN"/>
              </w:rPr>
              <w:t>1份</w:t>
            </w:r>
          </w:p>
        </w:tc>
      </w:tr>
    </w:tbl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/>
          <w:lang w:eastAsia="zh-CN"/>
        </w:rPr>
        <w:t>产品外观</w:t>
      </w:r>
      <w:r>
        <w:rPr>
          <w:rFonts w:hint="eastAsia"/>
        </w:rPr>
        <w:t>尺寸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LoRa电池供电版本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Cs w:val="22"/>
          <w:lang w:eastAsia="zh-CN"/>
        </w:rPr>
      </w:pPr>
      <w:r>
        <w:drawing>
          <wp:inline distT="0" distB="0" distL="114300" distR="114300">
            <wp:extent cx="2284730" cy="1845310"/>
            <wp:effectExtent l="0" t="0" r="1270" b="2540"/>
            <wp:docPr id="1" name="图片 1" descr="E:\沈恺斌\说明书\说明书-苗宇\LORA\LoRa LORA型土壤PH变送器\土壤PH-1.jpg土壤PH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\沈恺斌\说明书\说明书-苗宇\LORA\LoRa LORA型土壤PH变送器\土壤PH-1.jpg土壤PH-1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4730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3452495" cy="1927225"/>
            <wp:effectExtent l="0" t="0" r="14605" b="15875"/>
            <wp:docPr id="2" name="图片 1" descr="E:\沈恺斌\说明书\说明书-苗宇\LORA\LoRa LORA型土壤PH变送器\土壤PH-2.jpg土壤PH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E:\沈恺斌\说明书\说明书-苗宇\LORA\LoRa LORA型土壤PH变送器\土壤PH-2.jpg土壤PH-2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2495" cy="192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LoRa电源供电版本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  <w:rPr>
          <w:rFonts w:hint="eastAsia"/>
        </w:rPr>
      </w:pPr>
      <w:r>
        <w:rPr>
          <w:rFonts w:hint="eastAsia"/>
        </w:rPr>
        <w:t>以下是传感器的外观尺寸图，可根据尺寸和结构合理进行传感器的安装，如图所示：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jc w:val="center"/>
        <w:textAlignment w:val="auto"/>
      </w:pPr>
      <w:r>
        <w:drawing>
          <wp:inline distT="0" distB="0" distL="114300" distR="114300">
            <wp:extent cx="2133600" cy="1723390"/>
            <wp:effectExtent l="0" t="0" r="0" b="10160"/>
            <wp:docPr id="3" name="图片 2" descr="E:\沈恺斌\说明书\说明书-苗宇\LORA\电源版\土壤电导率-1.jpg土壤电导率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E:\沈恺斌\说明书\说明书-苗宇\LORA\电源版\土壤电导率-1.jpg土壤电导率-1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72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</w:rPr>
      </w:pPr>
      <w:r>
        <w:drawing>
          <wp:inline distT="0" distB="0" distL="114300" distR="114300">
            <wp:extent cx="3128010" cy="1746885"/>
            <wp:effectExtent l="0" t="0" r="15240" b="5715"/>
            <wp:docPr id="4" name="图片 3" descr="E:\沈恺斌\说明书\说明书-苗宇\LORA\电源版\土壤电导率-2.jpg土壤电导率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E:\沈恺斌\说明书\说明书-苗宇\LORA\电源版\土壤电导率-2.jpg土壤电导率-2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174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</w:rPr>
      </w:pPr>
      <w:bookmarkStart w:id="9" w:name="_Toc13435"/>
      <w:r>
        <w:rPr>
          <w:rFonts w:hint="eastAsia"/>
        </w:rPr>
        <w:t>设备安装</w:t>
      </w:r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spacing w:line="240" w:lineRule="auto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3519170" cy="1384300"/>
            <wp:effectExtent l="0" t="0" r="5080" b="6350"/>
            <wp:docPr id="8" name="图片 8" descr="水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水浸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1917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rFonts w:hint="eastAsia"/>
          <w:color w:val="000000"/>
          <w:lang w:eastAsia="zh-CN"/>
        </w:rPr>
      </w:pPr>
      <w:r>
        <w:rPr>
          <w:rFonts w:hint="eastAsia"/>
          <w:color w:val="000000"/>
        </w:rPr>
        <w:t>壁挂王子壳为壁挂式安装，安装孔位于设备两侧中部位置，安装孔径小于</w:t>
      </w:r>
      <w:r>
        <w:rPr>
          <w:color w:val="000000"/>
        </w:rPr>
        <w:t>4mm</w:t>
      </w:r>
      <w:r>
        <w:rPr>
          <w:rFonts w:hint="eastAsia"/>
          <w:color w:val="000000"/>
        </w:rPr>
        <w:t>，孔距</w:t>
      </w:r>
      <w:r>
        <w:rPr>
          <w:color w:val="000000"/>
        </w:rPr>
        <w:t>105mm</w:t>
      </w:r>
      <w:r>
        <w:rPr>
          <w:rFonts w:hint="eastAsia"/>
          <w:color w:val="000000"/>
        </w:rPr>
        <w:t>，可使用</w:t>
      </w:r>
      <w:r>
        <w:rPr>
          <w:color w:val="000000"/>
        </w:rPr>
        <w:t>3mm</w:t>
      </w:r>
      <w:r>
        <w:rPr>
          <w:rFonts w:hint="eastAsia"/>
          <w:color w:val="000000"/>
        </w:rPr>
        <w:t>的自攻螺丝安装</w:t>
      </w:r>
      <w:r>
        <w:rPr>
          <w:rFonts w:hint="eastAsia"/>
          <w:color w:val="000000"/>
          <w:lang w:eastAsia="zh-CN"/>
        </w:rPr>
        <w:t>。</w:t>
      </w:r>
    </w:p>
    <w:p>
      <w:pPr>
        <w:pStyle w:val="3"/>
        <w:rPr>
          <w:rFonts w:hint="eastAsia" w:ascii="黑体" w:hAnsi="黑体" w:cs="黑体"/>
        </w:rPr>
      </w:pPr>
      <w:r>
        <w:rPr>
          <w:rFonts w:hint="eastAsia" w:ascii="黑体" w:hAnsi="黑体" w:cs="黑体"/>
          <w:lang w:eastAsia="zh-CN"/>
        </w:rPr>
        <w:t>使用说明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</w:rPr>
        <w:t>如果您也购买了我司的LoRa贯桥云盒，首先使用我司配送的12V电源适配器给贯桥云盒供电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若传感器是电源供电版本，需要使用我司配送的电源适配器，供电即可；若是电池供电版本，只需按下传感器上的“电源”按键开关即可。</w:t>
      </w:r>
    </w:p>
    <w:p>
      <w:pPr>
        <w:numPr>
          <w:ilvl w:val="0"/>
          <w:numId w:val="3"/>
        </w:numPr>
        <w:ind w:firstLine="498" w:firstLineChars="200"/>
        <w:rPr>
          <w:rFonts w:hint="eastAsia"/>
        </w:rPr>
      </w:pPr>
      <w:r>
        <w:rPr>
          <w:rFonts w:hint="eastAsia"/>
          <w:lang w:val="en-US" w:eastAsia="zh-CN"/>
        </w:rPr>
        <w:t>前两步完成后，</w:t>
      </w:r>
      <w:r>
        <w:rPr>
          <w:rFonts w:hint="eastAsia"/>
        </w:rPr>
        <w:t>传感器和贯桥云盒之间通过无线模块建立连接，等待几分钟，使用传感器专有的ID，在我司服务器即可查看数据。</w:t>
      </w:r>
    </w:p>
    <w:p>
      <w:pPr>
        <w:ind w:firstLine="498" w:firstLineChars="200"/>
        <w:rPr>
          <w:rFonts w:hint="eastAsia" w:eastAsia="宋体"/>
          <w:spacing w:val="-2"/>
          <w:lang w:eastAsia="zh-CN"/>
        </w:rPr>
      </w:pPr>
      <w:r>
        <w:rPr>
          <w:rFonts w:hint="eastAsia"/>
        </w:rPr>
        <w:t>注：传感器和贯桥云盒连接的建立时间和信号、距离以及传感器默认的上报时间相关</w:t>
      </w:r>
      <w:r>
        <w:rPr>
          <w:rFonts w:hint="eastAsia"/>
          <w:lang w:eastAsia="zh-CN"/>
        </w:rPr>
        <w:t>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</w:rPr>
      </w:pPr>
      <w:r>
        <w:rPr>
          <w:rFonts w:hint="eastAsia"/>
        </w:rPr>
        <w:t>安装事宜</w:t>
      </w:r>
      <w:bookmarkEnd w:id="9"/>
    </w:p>
    <w:p>
      <w:pPr>
        <w:pStyle w:val="16"/>
        <w:spacing w:before="97"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1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测量时钢针必须全部插入土壤里。</w:t>
      </w:r>
    </w:p>
    <w:p>
      <w:pPr>
        <w:pStyle w:val="16"/>
        <w:spacing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2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避免强烈阳光直接照射到传感器上而导致温度过高。野外使用注意防雷击。</w:t>
      </w:r>
    </w:p>
    <w:p>
      <w:pPr>
        <w:pStyle w:val="16"/>
        <w:spacing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3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勿暴力折弯钢针，勿用力拉拽传感器引出线，勿摔打或猛烈撞击传感器。</w:t>
      </w:r>
    </w:p>
    <w:p>
      <w:pPr>
        <w:pStyle w:val="16"/>
        <w:spacing w:before="112" w:after="0" w:line="320" w:lineRule="exact"/>
        <w:ind w:firstLine="490"/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4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传感器防护等级</w:t>
      </w:r>
      <w:r>
        <w:rPr>
          <w:spacing w:val="-52"/>
        </w:rPr>
        <w:t xml:space="preserve"> </w:t>
      </w:r>
      <w:r>
        <w:rPr>
          <w:rFonts w:eastAsia="Times New Roman"/>
          <w:spacing w:val="-2"/>
        </w:rPr>
        <w:t>IP68</w:t>
      </w:r>
      <w:r>
        <w:rPr>
          <w:spacing w:val="-2"/>
        </w:rPr>
        <w:t>，可以将传感器整个泡在水中。</w:t>
      </w:r>
    </w:p>
    <w:p>
      <w:pPr>
        <w:pStyle w:val="16"/>
        <w:spacing w:before="97" w:after="0" w:line="320" w:lineRule="exact"/>
        <w:ind w:firstLine="490"/>
        <w:rPr>
          <w:rFonts w:eastAsia="Times New Roman"/>
          <w:spacing w:val="-2"/>
        </w:rPr>
      </w:pPr>
      <w:r>
        <w:rPr>
          <w:rFonts w:hint="eastAsia"/>
          <w:spacing w:val="-2"/>
          <w:lang w:eastAsia="zh-CN"/>
        </w:rPr>
        <w:t>（</w:t>
      </w:r>
      <w:r>
        <w:rPr>
          <w:rFonts w:hint="eastAsia"/>
          <w:spacing w:val="-2"/>
          <w:lang w:val="en-US" w:eastAsia="zh-CN"/>
        </w:rPr>
        <w:t>5</w:t>
      </w:r>
      <w:r>
        <w:rPr>
          <w:rFonts w:hint="eastAsia"/>
          <w:spacing w:val="-2"/>
          <w:lang w:eastAsia="zh-CN"/>
        </w:rPr>
        <w:t>）</w:t>
      </w:r>
      <w:r>
        <w:rPr>
          <w:spacing w:val="-2"/>
        </w:rPr>
        <w:t>由于在空气中存在射频电磁辐射，不宜长时间在空气中处于通电状态。</w:t>
      </w:r>
    </w:p>
    <w:p>
      <w:pPr>
        <w:pStyle w:val="3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/>
          <w:szCs w:val="22"/>
          <w:lang w:eastAsia="zh-CN"/>
        </w:rPr>
        <w:t>使用注意事项</w:t>
      </w:r>
    </w:p>
    <w:p>
      <w:pPr>
        <w:pStyle w:val="16"/>
        <w:spacing w:after="0" w:line="320" w:lineRule="exact"/>
        <w:ind w:firstLine="498"/>
        <w:rPr>
          <w:spacing w:val="-2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t>选定</w:t>
      </w:r>
      <w:r>
        <w:rPr>
          <w:spacing w:val="-5"/>
        </w:rPr>
        <w:t>合</w:t>
      </w:r>
      <w:r>
        <w:t>适的测</w:t>
      </w:r>
      <w:r>
        <w:rPr>
          <w:spacing w:val="-5"/>
        </w:rPr>
        <w:t>量</w:t>
      </w:r>
      <w:r>
        <w:t>地点</w:t>
      </w:r>
      <w:r>
        <w:rPr>
          <w:spacing w:val="-29"/>
        </w:rPr>
        <w:t>，</w:t>
      </w:r>
      <w:r>
        <w:t>避开</w:t>
      </w:r>
      <w:r>
        <w:rPr>
          <w:spacing w:val="-5"/>
        </w:rPr>
        <w:t>石</w:t>
      </w:r>
      <w:r>
        <w:t>块</w:t>
      </w:r>
      <w:r>
        <w:rPr>
          <w:spacing w:val="-34"/>
        </w:rPr>
        <w:t>，</w:t>
      </w:r>
      <w:r>
        <w:t>确保</w:t>
      </w:r>
      <w:r>
        <w:rPr>
          <w:spacing w:val="-5"/>
        </w:rPr>
        <w:t>钢</w:t>
      </w:r>
      <w:r>
        <w:t>针不会</w:t>
      </w:r>
      <w:r>
        <w:rPr>
          <w:spacing w:val="-5"/>
        </w:rPr>
        <w:t>碰</w:t>
      </w:r>
      <w:r>
        <w:t>到坚硬</w:t>
      </w:r>
      <w:r>
        <w:rPr>
          <w:spacing w:val="-5"/>
        </w:rPr>
        <w:t>的</w:t>
      </w:r>
      <w:r>
        <w:t>物体</w:t>
      </w:r>
      <w:r>
        <w:rPr>
          <w:spacing w:val="-34"/>
        </w:rPr>
        <w:t>，</w:t>
      </w:r>
      <w:r>
        <w:t>按照</w:t>
      </w:r>
      <w:r>
        <w:rPr>
          <w:spacing w:val="-5"/>
        </w:rPr>
        <w:t>所</w:t>
      </w:r>
      <w:r>
        <w:t>需测量</w:t>
      </w:r>
      <w:r>
        <w:rPr>
          <w:spacing w:val="-5"/>
        </w:rPr>
        <w:t>深</w:t>
      </w:r>
      <w:r>
        <w:t>度抛开表</w:t>
      </w:r>
      <w:r>
        <w:rPr>
          <w:spacing w:val="-5"/>
        </w:rPr>
        <w:t>层</w:t>
      </w:r>
      <w:r>
        <w:t>土</w:t>
      </w:r>
      <w:r>
        <w:rPr>
          <w:spacing w:val="-67"/>
        </w:rPr>
        <w:t>，</w:t>
      </w:r>
      <w:r>
        <w:t>保持</w:t>
      </w:r>
      <w:r>
        <w:rPr>
          <w:spacing w:val="-5"/>
        </w:rPr>
        <w:t>下</w:t>
      </w:r>
      <w:r>
        <w:t>面土壤</w:t>
      </w:r>
      <w:r>
        <w:rPr>
          <w:spacing w:val="-5"/>
        </w:rPr>
        <w:t>原</w:t>
      </w:r>
      <w:r>
        <w:t>有的松</w:t>
      </w:r>
      <w:r>
        <w:rPr>
          <w:spacing w:val="-5"/>
        </w:rPr>
        <w:t>紧</w:t>
      </w:r>
      <w:r>
        <w:t>程度</w:t>
      </w:r>
      <w:r>
        <w:rPr>
          <w:spacing w:val="-67"/>
        </w:rPr>
        <w:t>，</w:t>
      </w:r>
      <w:r>
        <w:t>紧握</w:t>
      </w:r>
      <w:r>
        <w:rPr>
          <w:spacing w:val="-5"/>
        </w:rPr>
        <w:t>传</w:t>
      </w:r>
      <w:r>
        <w:t>感器垂</w:t>
      </w:r>
      <w:r>
        <w:rPr>
          <w:spacing w:val="-5"/>
        </w:rPr>
        <w:t>直</w:t>
      </w:r>
      <w:r>
        <w:t>插入土</w:t>
      </w:r>
      <w:r>
        <w:rPr>
          <w:spacing w:val="-5"/>
        </w:rPr>
        <w:t>壤</w:t>
      </w:r>
      <w:r>
        <w:rPr>
          <w:spacing w:val="-67"/>
        </w:rPr>
        <w:t>，</w:t>
      </w:r>
      <w:r>
        <w:t>插入</w:t>
      </w:r>
      <w:r>
        <w:rPr>
          <w:spacing w:val="-5"/>
        </w:rPr>
        <w:t>时</w:t>
      </w:r>
      <w:r>
        <w:t>不可左</w:t>
      </w:r>
      <w:r>
        <w:rPr>
          <w:spacing w:val="-5"/>
        </w:rPr>
        <w:t>右</w:t>
      </w:r>
      <w:r>
        <w:t>晃动</w:t>
      </w:r>
      <w:r>
        <w:rPr>
          <w:lang w:val="en-US" w:eastAsia="zh-CN"/>
        </w:rPr>
        <w:t>,</w:t>
      </w:r>
      <w:r>
        <w:rPr>
          <w:spacing w:val="-2"/>
        </w:rPr>
        <w:t>一个测点的小范围内建议多次测量求平均值。</w:t>
      </w:r>
    </w:p>
    <w:p>
      <w:pPr>
        <w:ind w:firstLine="560" w:firstLineChars="0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t>垂直</w:t>
      </w:r>
      <w:r>
        <w:rPr>
          <w:spacing w:val="-5"/>
        </w:rPr>
        <w:t>挖</w:t>
      </w:r>
      <w:r>
        <w:t>直径</w:t>
      </w:r>
      <w:r>
        <w:rPr>
          <w:rFonts w:eastAsia="Times New Roman"/>
          <w:spacing w:val="1"/>
        </w:rPr>
        <w:t>&gt;</w:t>
      </w:r>
      <w:r>
        <w:rPr>
          <w:rFonts w:eastAsia="Times New Roman"/>
        </w:rPr>
        <w:t>20</w:t>
      </w:r>
      <w:r>
        <w:rPr>
          <w:rFonts w:eastAsia="Times New Roman"/>
          <w:spacing w:val="-3"/>
        </w:rPr>
        <w:t>c</w:t>
      </w:r>
      <w:r>
        <w:rPr>
          <w:rFonts w:eastAsia="Times New Roman"/>
        </w:rPr>
        <w:t>m</w:t>
      </w:r>
      <w:r>
        <w:rPr>
          <w:rFonts w:eastAsia="Times New Roman"/>
          <w:spacing w:val="-1"/>
        </w:rPr>
        <w:t xml:space="preserve"> </w:t>
      </w:r>
      <w:r>
        <w:t>的</w:t>
      </w:r>
      <w:r>
        <w:rPr>
          <w:spacing w:val="-5"/>
        </w:rPr>
        <w:t>坑</w:t>
      </w:r>
      <w:r>
        <w:rPr>
          <w:spacing w:val="-34"/>
        </w:rPr>
        <w:t>，</w:t>
      </w:r>
      <w:r>
        <w:t>在既定</w:t>
      </w:r>
      <w:r>
        <w:rPr>
          <w:spacing w:val="-5"/>
        </w:rPr>
        <w:t>的</w:t>
      </w:r>
      <w:r>
        <w:t>深度将</w:t>
      </w:r>
      <w:r>
        <w:rPr>
          <w:spacing w:val="-5"/>
        </w:rPr>
        <w:t>传</w:t>
      </w:r>
      <w:r>
        <w:t>感器钢</w:t>
      </w:r>
      <w:r>
        <w:rPr>
          <w:spacing w:val="-5"/>
        </w:rPr>
        <w:t>针</w:t>
      </w:r>
      <w:r>
        <w:t>水平插</w:t>
      </w:r>
      <w:r>
        <w:rPr>
          <w:spacing w:val="-5"/>
        </w:rPr>
        <w:t>入</w:t>
      </w:r>
      <w:r>
        <w:t>坑壁</w:t>
      </w:r>
      <w:r>
        <w:rPr>
          <w:spacing w:val="-34"/>
        </w:rPr>
        <w:t>，</w:t>
      </w:r>
      <w:r>
        <w:t>将坑</w:t>
      </w:r>
      <w:r>
        <w:rPr>
          <w:spacing w:val="-5"/>
        </w:rPr>
        <w:t>填</w:t>
      </w:r>
      <w:r>
        <w:t>埋严</w:t>
      </w:r>
      <w:r>
        <w:rPr>
          <w:spacing w:val="-5"/>
        </w:rPr>
        <w:t>实</w:t>
      </w:r>
      <w:r>
        <w:rPr>
          <w:spacing w:val="-34"/>
        </w:rPr>
        <w:t>，</w:t>
      </w:r>
      <w:r>
        <w:t>稳</w:t>
      </w:r>
      <w:r>
        <w:rPr>
          <w:spacing w:val="-2"/>
        </w:rPr>
        <w:t>定一段时间后，即可进行连续数天，数月乃至更长时间的测量和记录。</w:t>
      </w:r>
    </w:p>
    <w:p>
      <w:pPr>
        <w:ind w:firstLine="560" w:firstLineChars="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t>测量结冻冰土层时，水分值会偏低不准确，需要用户补偿</w:t>
      </w:r>
      <w:r>
        <w:rPr>
          <w:rFonts w:hint="eastAsia"/>
        </w:rPr>
        <w:t>。出厂默认产品适用于测量普通的黄土地、黑土地、红土地。不适用于对于盐分较大的盐碱地、沙地、或者其他粉末状物体的绝对水分测量，单仍可以表征相对水分差别，对于这类型的水分测量应联系厂家做单独校准。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720" w:leftChars="0" w:hanging="72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LoRa贯桥云盒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设备在室外使用，需要放置在比较空旷、无遮挡位置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放置在高4-5米的位置，以增强信号强度和覆盖范围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在室外使用需做好防水处理</w:t>
      </w:r>
    </w:p>
    <w:p>
      <w:pPr>
        <w:pStyle w:val="4"/>
        <w:numPr>
          <w:ilvl w:val="0"/>
          <w:numId w:val="4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贯桥云盒的使用参照使用说明书进行操作</w:t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ind w:left="720" w:leftChars="0" w:hanging="720" w:firstLineChars="0"/>
        <w:textAlignment w:val="auto"/>
        <w:rPr>
          <w:rFonts w:hint="eastAsia"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  <w:lang w:val="en-US" w:eastAsia="zh-CN"/>
        </w:rPr>
        <w:t>LoRa传感器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在室外使用，不能放置在低洼、密闭环境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设备放置在较高位置，增强信号的接收</w:t>
      </w:r>
    </w:p>
    <w:p>
      <w:pPr>
        <w:pStyle w:val="4"/>
        <w:numPr>
          <w:ilvl w:val="0"/>
          <w:numId w:val="5"/>
        </w:numPr>
        <w:spacing w:line="320" w:lineRule="exact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在室外使用需做好防潮、高温处理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测量时钢针必须全部插入土壤里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避免强烈阳光直接照射到传感器上而导致温度过</w:t>
      </w:r>
      <w:r>
        <w:rPr>
          <w:rFonts w:hint="eastAsia"/>
          <w:spacing w:val="-2"/>
          <w:lang w:val="en-US" w:eastAsia="zh-CN"/>
        </w:rPr>
        <w:t xml:space="preserve">  </w:t>
      </w:r>
      <w:r>
        <w:rPr>
          <w:spacing w:val="-2"/>
        </w:rPr>
        <w:t>高。野外使用注意防雷击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spacing w:val="-2"/>
        </w:rPr>
        <w:t>勿暴力折弯钢针，勿用力拉拽传感器引出线，勿摔打或猛烈撞击传感器</w:t>
      </w:r>
    </w:p>
    <w:p>
      <w:pPr>
        <w:pStyle w:val="4"/>
        <w:numPr>
          <w:ilvl w:val="0"/>
          <w:numId w:val="5"/>
        </w:numPr>
        <w:spacing w:line="320" w:lineRule="exact"/>
        <w:ind w:firstLine="490"/>
        <w:rPr>
          <w:rFonts w:hint="eastAsia" w:ascii="宋体" w:hAnsi="宋体" w:cs="宋体"/>
          <w:szCs w:val="24"/>
          <w:lang w:val="en-US" w:eastAsia="zh-CN"/>
        </w:rPr>
      </w:pPr>
      <w:r>
        <w:rPr>
          <w:rFonts w:hint="eastAsia" w:ascii="宋体" w:hAnsi="宋体" w:cs="宋体"/>
          <w:szCs w:val="24"/>
          <w:lang w:val="en-US" w:eastAsia="zh-CN"/>
        </w:rPr>
        <w:t>由于</w:t>
      </w:r>
      <w:r>
        <w:rPr>
          <w:spacing w:val="-2"/>
        </w:rPr>
        <w:t>在空气中存在射频电磁辐射，不宜长时间在空气中处于通电状态</w:t>
      </w:r>
    </w:p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精讯云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精讯云</w:t>
      </w:r>
      <w:r>
        <w:rPr>
          <w:rFonts w:hint="eastAsia"/>
        </w:rPr>
        <w:t>介绍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记录、查询、导出、比较</w:t>
      </w:r>
      <w:r>
        <w:rPr>
          <w:rFonts w:hint="eastAsia"/>
        </w:rPr>
        <w:t>等功能，主要是在应用层为客户提供一站式的加入服务。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 w:ascii="黑体" w:hAnsi="黑体" w:cs="黑体"/>
        </w:rPr>
      </w:pPr>
      <w:r>
        <w:rPr>
          <w:rFonts w:hint="eastAsia" w:ascii="黑体" w:hAnsi="黑体" w:cs="黑体"/>
          <w:color w:val="000000"/>
          <w:szCs w:val="28"/>
          <w:lang w:eastAsia="zh-CN"/>
        </w:rPr>
        <w:t>精讯云</w:t>
      </w:r>
      <w:r>
        <w:rPr>
          <w:rFonts w:hint="eastAsia" w:ascii="黑体" w:hAnsi="黑体" w:cs="黑体"/>
          <w:color w:val="000000"/>
          <w:szCs w:val="28"/>
        </w:rPr>
        <w:t>优势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（1）</w:t>
      </w:r>
      <w:r>
        <w:rPr>
          <w:rFonts w:hint="eastAsia"/>
        </w:rPr>
        <w:t>稳定性：</w:t>
      </w:r>
      <w:r>
        <w:rPr>
          <w:rFonts w:hint="eastAsia" w:ascii="宋体" w:hAnsi="宋体" w:cs="仿宋"/>
          <w:color w:val="000000"/>
          <w:szCs w:val="28"/>
        </w:rPr>
        <w:t>高稳定性，系统总体可用率大于99.7%，数据库应用可用率大于99.8%，并且会定期维护。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（2）</w:t>
      </w:r>
      <w:r>
        <w:rPr>
          <w:rFonts w:hint="eastAsia" w:ascii="宋体" w:hAnsi="宋体" w:cs="仿宋"/>
          <w:color w:val="000000"/>
          <w:szCs w:val="28"/>
        </w:rPr>
        <w:t>易操作性：提供友好的用户管理和使用界</w:t>
      </w:r>
    </w:p>
    <w:p>
      <w:pPr>
        <w:pStyle w:val="4"/>
        <w:spacing w:line="320" w:lineRule="exact"/>
        <w:rPr>
          <w:rFonts w:hint="eastAsia" w:ascii="宋体" w:hAnsi="宋体" w:cs="仿宋"/>
          <w:color w:val="000000"/>
          <w:szCs w:val="28"/>
          <w:lang w:eastAsia="zh-CN"/>
        </w:rPr>
      </w:pPr>
      <w:r>
        <w:rPr>
          <w:rFonts w:hint="eastAsia" w:ascii="宋体" w:hAnsi="宋体" w:cs="仿宋"/>
          <w:color w:val="000000"/>
          <w:szCs w:val="28"/>
          <w:lang w:eastAsia="zh-CN"/>
        </w:rPr>
        <w:t>（3）</w:t>
      </w:r>
      <w:r>
        <w:rPr>
          <w:rFonts w:hint="eastAsia"/>
        </w:rPr>
        <w:t>可靠性：</w:t>
      </w:r>
      <w:r>
        <w:rPr>
          <w:rFonts w:hint="eastAsia" w:ascii="宋体" w:hAnsi="宋体" w:cs="仿宋"/>
          <w:color w:val="000000"/>
          <w:szCs w:val="28"/>
        </w:rPr>
        <w:t>，在系统设计时，通过选择优秀的产品和采用必要的技术手段确保系统的可靠性</w:t>
      </w:r>
    </w:p>
    <w:p>
      <w:pPr>
        <w:pStyle w:val="4"/>
        <w:spacing w:line="320" w:lineRule="exact"/>
        <w:rPr>
          <w:rFonts w:hint="eastAsia"/>
          <w:lang w:eastAsia="zh-CN"/>
        </w:rPr>
      </w:pPr>
      <w:r>
        <w:rPr>
          <w:rFonts w:hint="eastAsia"/>
          <w:lang w:eastAsia="zh-CN"/>
        </w:rPr>
        <w:t>（4）</w:t>
      </w:r>
      <w:r>
        <w:rPr>
          <w:rFonts w:hint="eastAsia"/>
        </w:rPr>
        <w:t>兼容性：其他公司产品按照我司服务器协议，数据也可在我司平台产看</w:t>
      </w:r>
    </w:p>
    <w:p>
      <w:pPr>
        <w:pStyle w:val="4"/>
        <w:spacing w:line="320" w:lineRule="exact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（5）</w:t>
      </w:r>
      <w:r>
        <w:rPr>
          <w:rFonts w:hint="eastAsia"/>
          <w:lang w:val="en-US" w:eastAsia="zh-CN"/>
        </w:rPr>
        <w:t>“千人千面”：具有私有化部署，同时提供正常入口和中性入口两个入口，从中性入口进入后，客户看到的界面信息为客户自行设定的信息</w:t>
      </w:r>
    </w:p>
    <w:p>
      <w:pPr>
        <w:pStyle w:val="4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  <w:lang w:val="en-US" w:eastAsia="zh-CN"/>
        </w:rPr>
        <w:t>（6）</w:t>
      </w:r>
      <w:r>
        <w:rPr>
          <w:rFonts w:hint="eastAsia" w:ascii="宋体" w:hAnsi="宋体" w:cs="宋体"/>
        </w:rPr>
        <w:t>微信小程序</w:t>
      </w:r>
      <w:r>
        <w:rPr>
          <w:rFonts w:hint="eastAsia" w:ascii="宋体" w:hAnsi="宋体" w:cs="宋体"/>
          <w:lang w:eastAsia="zh-CN"/>
        </w:rPr>
        <w:t>：</w:t>
      </w:r>
      <w:r>
        <w:rPr>
          <w:rFonts w:hint="eastAsia" w:ascii="宋体" w:hAnsi="宋体" w:cs="宋体"/>
        </w:rPr>
        <w:t>可以手机微信简单、方便查看设备状态、数据、设备绑定地点等</w:t>
      </w:r>
      <w:r>
        <w:rPr>
          <w:rFonts w:hint="eastAsia" w:ascii="宋体" w:hAnsi="宋体" w:cs="宋体"/>
          <w:lang w:eastAsia="zh-CN"/>
        </w:rPr>
        <w:t>。</w:t>
      </w: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578" w:hanging="578"/>
        <w:textAlignment w:val="auto"/>
        <w:rPr>
          <w:rFonts w:hint="eastAsia"/>
          <w:szCs w:val="36"/>
          <w:lang w:eastAsia="zh-CN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  <w:lang w:eastAsia="zh-CN"/>
        </w:rPr>
        <w:t>数据查询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当您购买的传感器带有上报功能，您可以通过精讯云服务器远程查看数据，方便快捷。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传感器设备通过</w:t>
      </w:r>
      <w:r>
        <w:rPr>
          <w:rFonts w:hint="eastAsia"/>
          <w:lang w:val="en-US" w:eastAsia="zh-CN"/>
        </w:rPr>
        <w:t>LoRa</w:t>
      </w:r>
      <w:r>
        <w:rPr>
          <w:rFonts w:hint="eastAsia"/>
        </w:rPr>
        <w:t>网络模块</w:t>
      </w:r>
      <w:r>
        <w:rPr>
          <w:rFonts w:hint="eastAsia"/>
          <w:lang w:val="en-US" w:eastAsia="zh-CN"/>
        </w:rPr>
        <w:t>和网关建立连接，网关</w:t>
      </w:r>
      <w:r>
        <w:rPr>
          <w:rFonts w:hint="eastAsia"/>
        </w:rPr>
        <w:t>和精讯云服务器</w:t>
      </w:r>
      <w:r>
        <w:rPr>
          <w:rFonts w:hint="eastAsia"/>
          <w:lang w:val="en-US" w:eastAsia="zh-CN"/>
        </w:rPr>
        <w:t>通过无线网络</w:t>
      </w:r>
      <w:r>
        <w:rPr>
          <w:rFonts w:hint="eastAsia"/>
        </w:rPr>
        <w:t>建立连接，按照默认的频率（频率可调）将数据上报到云端服务器。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您只需使用已注册的精讯云账号登录服务器后，通过使用每台主机专有的“身份ID”即可查询设备的数据。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同时平台还具有报警功能，您只需通过平台设置报警数值，监测数据超过报警数值，平台会通过短信或者QQ邮箱通知您，让您更加方便、快捷的监测数据。</w:t>
      </w:r>
    </w:p>
    <w:p>
      <w:pPr>
        <w:ind w:firstLine="498" w:firstLineChars="200"/>
        <w:rPr>
          <w:rFonts w:hint="eastAsia" w:eastAsia="宋体"/>
          <w:lang w:eastAsia="zh-CN"/>
        </w:rPr>
      </w:pPr>
      <w:r>
        <w:rPr>
          <w:rFonts w:hint="eastAsia"/>
        </w:rPr>
        <w:t>注：您可联系我司售后工作人员，了解平台的具体功能</w:t>
      </w:r>
      <w:r>
        <w:rPr>
          <w:rFonts w:hint="eastAsia"/>
          <w:lang w:eastAsia="zh-CN"/>
        </w:rPr>
        <w:t>。</w:t>
      </w:r>
    </w:p>
    <w:p>
      <w:pPr>
        <w:pStyle w:val="4"/>
        <w:ind w:firstLineChars="0"/>
        <w:rPr>
          <w:rFonts w:hint="eastAsia"/>
          <w:lang w:val="en-US"/>
        </w:rPr>
      </w:pPr>
    </w:p>
    <w:p>
      <w:pPr>
        <w:spacing w:line="320" w:lineRule="exact"/>
        <w:ind w:firstLine="498" w:firstLineChars="200"/>
      </w:pPr>
    </w:p>
    <w:sectPr>
      <w:endnotePr>
        <w:numFmt w:val="decimal"/>
      </w:endnotePr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645DABE"/>
    <w:multiLevelType w:val="singleLevel"/>
    <w:tmpl w:val="D645DAB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25895EE1"/>
    <w:multiLevelType w:val="singleLevel"/>
    <w:tmpl w:val="25895EE1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3">
    <w:nsid w:val="74E41A88"/>
    <w:multiLevelType w:val="multilevel"/>
    <w:tmpl w:val="74E41A88"/>
    <w:lvl w:ilvl="0" w:tentative="0">
      <w:start w:val="1"/>
      <w:numFmt w:val="bullet"/>
      <w:lvlText w:val=""/>
      <w:lvlJc w:val="left"/>
      <w:pPr>
        <w:ind w:left="91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3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5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7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9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1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43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85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78" w:hanging="420"/>
      </w:pPr>
      <w:rPr>
        <w:rFonts w:hint="default" w:ascii="Wingdings" w:hAnsi="Wingdings"/>
      </w:rPr>
    </w:lvl>
  </w:abstractNum>
  <w:abstractNum w:abstractNumId="4">
    <w:nsid w:val="7F086E66"/>
    <w:multiLevelType w:val="singleLevel"/>
    <w:tmpl w:val="7F086E6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attachedTemplate r:id="rId1"/>
  <w:documentProtection w:enforcement="0"/>
  <w:defaultTabStop w:val="578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011A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64E0C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37DA3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1249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3707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76814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0794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E3F91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30B335A"/>
    <w:rsid w:val="04B56BB8"/>
    <w:rsid w:val="054F7921"/>
    <w:rsid w:val="0561436D"/>
    <w:rsid w:val="06511F76"/>
    <w:rsid w:val="06A24D7F"/>
    <w:rsid w:val="076F5F08"/>
    <w:rsid w:val="08C36BBA"/>
    <w:rsid w:val="090C0E49"/>
    <w:rsid w:val="09CD5028"/>
    <w:rsid w:val="0BD900EE"/>
    <w:rsid w:val="0EEC5A9C"/>
    <w:rsid w:val="1228513B"/>
    <w:rsid w:val="12AC280A"/>
    <w:rsid w:val="14396048"/>
    <w:rsid w:val="16B05340"/>
    <w:rsid w:val="1A0755D3"/>
    <w:rsid w:val="1B65407A"/>
    <w:rsid w:val="1E1D1A34"/>
    <w:rsid w:val="1FB55779"/>
    <w:rsid w:val="20C365AA"/>
    <w:rsid w:val="21A461A0"/>
    <w:rsid w:val="23130861"/>
    <w:rsid w:val="236B3EFD"/>
    <w:rsid w:val="236E1F84"/>
    <w:rsid w:val="23D00E5B"/>
    <w:rsid w:val="24CE6DE0"/>
    <w:rsid w:val="250F67FF"/>
    <w:rsid w:val="262027F4"/>
    <w:rsid w:val="26384D6A"/>
    <w:rsid w:val="264C1586"/>
    <w:rsid w:val="26E76C34"/>
    <w:rsid w:val="27342E05"/>
    <w:rsid w:val="27F43A2B"/>
    <w:rsid w:val="292B4709"/>
    <w:rsid w:val="2A761913"/>
    <w:rsid w:val="2BBD73D9"/>
    <w:rsid w:val="2D8E1A46"/>
    <w:rsid w:val="2E546549"/>
    <w:rsid w:val="313A7956"/>
    <w:rsid w:val="318D5DF1"/>
    <w:rsid w:val="346930B5"/>
    <w:rsid w:val="35882E67"/>
    <w:rsid w:val="36E84106"/>
    <w:rsid w:val="38836831"/>
    <w:rsid w:val="38D019E5"/>
    <w:rsid w:val="397E31C0"/>
    <w:rsid w:val="3AE656AB"/>
    <w:rsid w:val="3CE71613"/>
    <w:rsid w:val="3E0C25B9"/>
    <w:rsid w:val="3FF56E19"/>
    <w:rsid w:val="40365928"/>
    <w:rsid w:val="40702162"/>
    <w:rsid w:val="41545771"/>
    <w:rsid w:val="421F7F18"/>
    <w:rsid w:val="42AA5B4D"/>
    <w:rsid w:val="42F92930"/>
    <w:rsid w:val="44B8767B"/>
    <w:rsid w:val="465F20DE"/>
    <w:rsid w:val="470B6481"/>
    <w:rsid w:val="48014218"/>
    <w:rsid w:val="48C722E2"/>
    <w:rsid w:val="4AB4670A"/>
    <w:rsid w:val="4BB560A9"/>
    <w:rsid w:val="4C603508"/>
    <w:rsid w:val="4C940639"/>
    <w:rsid w:val="4CA37FE2"/>
    <w:rsid w:val="4E467744"/>
    <w:rsid w:val="53A72321"/>
    <w:rsid w:val="54732D30"/>
    <w:rsid w:val="577063D2"/>
    <w:rsid w:val="5A5118A3"/>
    <w:rsid w:val="5AFF20BA"/>
    <w:rsid w:val="5C1F187C"/>
    <w:rsid w:val="5D620359"/>
    <w:rsid w:val="5E0529D6"/>
    <w:rsid w:val="5E7E7451"/>
    <w:rsid w:val="5EA308D7"/>
    <w:rsid w:val="5F447033"/>
    <w:rsid w:val="5FC3108A"/>
    <w:rsid w:val="608012C0"/>
    <w:rsid w:val="62390A19"/>
    <w:rsid w:val="62D76FD6"/>
    <w:rsid w:val="648C5E8C"/>
    <w:rsid w:val="650A0A3E"/>
    <w:rsid w:val="65FD6F55"/>
    <w:rsid w:val="66314540"/>
    <w:rsid w:val="67EA7083"/>
    <w:rsid w:val="6B7B5F02"/>
    <w:rsid w:val="6BAC0D39"/>
    <w:rsid w:val="6CF426B0"/>
    <w:rsid w:val="6D881782"/>
    <w:rsid w:val="6D9A5831"/>
    <w:rsid w:val="6F271A08"/>
    <w:rsid w:val="71597096"/>
    <w:rsid w:val="72D23B8D"/>
    <w:rsid w:val="7336604D"/>
    <w:rsid w:val="73C74579"/>
    <w:rsid w:val="747C4548"/>
    <w:rsid w:val="750E5829"/>
    <w:rsid w:val="768222BC"/>
    <w:rsid w:val="76CC3173"/>
    <w:rsid w:val="77686C5F"/>
    <w:rsid w:val="7A830CB6"/>
    <w:rsid w:val="7AD34B82"/>
    <w:rsid w:val="7B6C6C0D"/>
    <w:rsid w:val="7C2628AD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qFormat="1" w:unhideWhenUsed="0" w:uiPriority="0" w:name="footnote reference"/>
    <w:lsdException w:qFormat="1" w:unhideWhenUsed="0" w:uiPriority="0" w:name="annotation reference"/>
    <w:lsdException w:uiPriority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</w:pPr>
  </w:style>
  <w:style w:type="paragraph" w:styleId="3">
    <w:name w:val="heading 2"/>
    <w:basedOn w:val="1"/>
    <w:next w:val="1"/>
    <w:link w:val="54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8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2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9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7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7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2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8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1">
    <w:name w:val="正文文本首行缩进"/>
    <w:basedOn w:val="1"/>
    <w:qFormat/>
    <w:uiPriority w:val="0"/>
    <w:pPr>
      <w:ind w:firstLine="498" w:firstLineChars="200"/>
    </w:pPr>
  </w:style>
  <w:style w:type="character" w:customStyle="1" w:styleId="52">
    <w:name w:val="纯文本 字符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3">
    <w:name w:val="附表二级标题 Char"/>
    <w:basedOn w:val="54"/>
    <w:link w:val="55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4">
    <w:name w:val="标题 2 字符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5">
    <w:name w:val="附表二级标题"/>
    <w:basedOn w:val="3"/>
    <w:link w:val="53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6">
    <w:name w:val="标题 8 字符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7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8">
    <w:name w:val="副标题 字符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9">
    <w:name w:val="正文首行缩进 字符"/>
    <w:link w:val="4"/>
    <w:qFormat/>
    <w:uiPriority w:val="0"/>
    <w:rPr>
      <w:kern w:val="2"/>
      <w:sz w:val="24"/>
    </w:rPr>
  </w:style>
  <w:style w:type="character" w:customStyle="1" w:styleId="60">
    <w:name w:val="hps"/>
    <w:qFormat/>
    <w:uiPriority w:val="0"/>
  </w:style>
  <w:style w:type="character" w:customStyle="1" w:styleId="61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2">
    <w:name w:val="标题 7 字符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3">
    <w:name w:val="high-light-bg"/>
    <w:basedOn w:val="43"/>
    <w:qFormat/>
    <w:uiPriority w:val="0"/>
  </w:style>
  <w:style w:type="character" w:customStyle="1" w:styleId="64">
    <w:name w:val="apple-converted-space"/>
    <w:basedOn w:val="43"/>
    <w:qFormat/>
    <w:uiPriority w:val="0"/>
  </w:style>
  <w:style w:type="character" w:customStyle="1" w:styleId="65">
    <w:name w:val="hit"/>
    <w:basedOn w:val="43"/>
    <w:qFormat/>
    <w:uiPriority w:val="0"/>
  </w:style>
  <w:style w:type="character" w:customStyle="1" w:styleId="66">
    <w:name w:val="it"/>
    <w:basedOn w:val="43"/>
    <w:qFormat/>
    <w:uiPriority w:val="0"/>
  </w:style>
  <w:style w:type="character" w:customStyle="1" w:styleId="67">
    <w:name w:val="正文文本缩进 字符"/>
    <w:link w:val="17"/>
    <w:qFormat/>
    <w:uiPriority w:val="0"/>
    <w:rPr>
      <w:kern w:val="2"/>
      <w:sz w:val="24"/>
    </w:rPr>
  </w:style>
  <w:style w:type="character" w:customStyle="1" w:styleId="68">
    <w:name w:val="标题 6 字符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9">
    <w:name w:val="txt"/>
    <w:basedOn w:val="43"/>
    <w:qFormat/>
    <w:uiPriority w:val="0"/>
  </w:style>
  <w:style w:type="character" w:customStyle="1" w:styleId="70">
    <w:name w:val="short_text"/>
    <w:qFormat/>
    <w:uiPriority w:val="0"/>
  </w:style>
  <w:style w:type="character" w:customStyle="1" w:styleId="71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2">
    <w:name w:val="videolength"/>
    <w:basedOn w:val="43"/>
    <w:qFormat/>
    <w:uiPriority w:val="0"/>
  </w:style>
  <w:style w:type="character" w:customStyle="1" w:styleId="73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4">
    <w:name w:val="HTML 预设格式 字符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5">
    <w:name w:val="封面内容"/>
    <w:basedOn w:val="43"/>
    <w:qFormat/>
    <w:uiPriority w:val="0"/>
    <w:rPr>
      <w:sz w:val="28"/>
    </w:rPr>
  </w:style>
  <w:style w:type="character" w:customStyle="1" w:styleId="76">
    <w:name w:val="页脚 字符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7">
    <w:name w:val="正文文本 字符"/>
    <w:basedOn w:val="43"/>
    <w:link w:val="16"/>
    <w:qFormat/>
    <w:uiPriority w:val="0"/>
    <w:rPr>
      <w:sz w:val="24"/>
      <w:lang w:val="en-US" w:eastAsia="zh-CN"/>
    </w:rPr>
  </w:style>
  <w:style w:type="character" w:customStyle="1" w:styleId="78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9">
    <w:name w:val="标题 9 字符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80">
    <w:name w:val="标题 5 字符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1">
    <w:name w:val="提示 Char"/>
    <w:link w:val="82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2">
    <w:name w:val="提示"/>
    <w:basedOn w:val="1"/>
    <w:link w:val="8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3">
    <w:name w:val="bf"/>
    <w:basedOn w:val="43"/>
    <w:qFormat/>
    <w:uiPriority w:val="0"/>
  </w:style>
  <w:style w:type="character" w:customStyle="1" w:styleId="84">
    <w:name w:val="页眉 字符"/>
    <w:link w:val="25"/>
    <w:qFormat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5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6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7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9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0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1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2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3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5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6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7">
    <w:name w:val="图题"/>
    <w:basedOn w:val="1"/>
    <w:qFormat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8">
    <w:name w:val="批注主题1"/>
    <w:basedOn w:val="15"/>
    <w:next w:val="15"/>
    <w:semiHidden/>
    <w:qFormat/>
    <w:uiPriority w:val="0"/>
    <w:rPr>
      <w:b/>
      <w:bCs/>
    </w:rPr>
  </w:style>
  <w:style w:type="paragraph" w:customStyle="1" w:styleId="99">
    <w:name w:val="ÕýÎÄÊ×ÐÐËõ½ø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100">
    <w:name w:val="¹Ø¼ü´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1">
    <w:name w:val="Char Char1 Char Char Char Char Char Char Char Char Char Char Char Char Char Char Char"/>
    <w:basedOn w:val="1"/>
    <w:qFormat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2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3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4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5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6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7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8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9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10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1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2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3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4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5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7">
    <w:name w:val="章标题(不加入目录内)"/>
    <w:basedOn w:val="35"/>
    <w:qFormat/>
    <w:uiPriority w:val="0"/>
    <w:pPr>
      <w:outlineLvl w:val="9"/>
    </w:pPr>
  </w:style>
  <w:style w:type="paragraph" w:customStyle="1" w:styleId="118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9">
    <w:name w:val="Char Char Char Char"/>
    <w:basedOn w:val="1"/>
    <w:qFormat/>
    <w:uiPriority w:val="0"/>
    <w:rPr>
      <w:rFonts w:ascii="Tahoma" w:hAnsi="Tahoma"/>
    </w:rPr>
  </w:style>
  <w:style w:type="paragraph" w:customStyle="1" w:styleId="120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1">
    <w:name w:val="Char Char Char Char Char Char Char Char Char Char Char Char Char"/>
    <w:basedOn w:val="1"/>
    <w:qFormat/>
    <w:uiPriority w:val="0"/>
    <w:rPr>
      <w:sz w:val="21"/>
      <w:szCs w:val="24"/>
    </w:rPr>
  </w:style>
  <w:style w:type="paragraph" w:customStyle="1" w:styleId="122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3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4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5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6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7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8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9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30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底纹 2 - 强调文字颜色 11"/>
    <w:basedOn w:val="40"/>
    <w:qFormat/>
    <w:uiPriority w:val="64"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2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3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4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7.jpeg"/><Relationship Id="rId14" Type="http://schemas.openxmlformats.org/officeDocument/2006/relationships/image" Target="media/image6.jpeg"/><Relationship Id="rId13" Type="http://schemas.openxmlformats.org/officeDocument/2006/relationships/image" Target="media/image5.jpeg"/><Relationship Id="rId12" Type="http://schemas.openxmlformats.org/officeDocument/2006/relationships/image" Target="media/image4.jpeg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D5BBA7-461B-4B0E-8C90-4F5195BBEB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Company>hitwx</Company>
  <Pages>13</Pages>
  <Words>473</Words>
  <Characters>2702</Characters>
  <Lines>22</Lines>
  <Paragraphs>6</Paragraphs>
  <TotalTime>1</TotalTime>
  <ScaleCrop>false</ScaleCrop>
  <LinksUpToDate>false</LinksUpToDate>
  <CharactersWithSpaces>3169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Admin</cp:lastModifiedBy>
  <cp:lastPrinted>2020-12-23T05:47:00Z</cp:lastPrinted>
  <dcterms:modified xsi:type="dcterms:W3CDTF">2021-01-22T07:18:51Z</dcterms:modified>
  <dc:title>哈尔滨工业大学硕士毕业论文模板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2052-11.1.0.10132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