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7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63" w:type="dxa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color w:val="000000"/>
                <w:sz w:val="72"/>
                <w:szCs w:val="72"/>
              </w:rPr>
              <w:t>投入式液位变送器使用说明书</w:t>
            </w:r>
            <w:r>
              <w:rPr>
                <w:sz w:val="72"/>
                <w:szCs w:val="72"/>
                <w:highlight w:val="green"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page">
                    <wp:posOffset>-647065</wp:posOffset>
                  </wp:positionH>
                  <wp:positionV relativeFrom="page">
                    <wp:posOffset>-704850</wp:posOffset>
                  </wp:positionV>
                  <wp:extent cx="5369560" cy="7552690"/>
                  <wp:effectExtent l="0" t="0" r="2540" b="10160"/>
                  <wp:wrapNone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9560" cy="7552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rFonts w:hint="default" w:eastAsia="宋体"/>
                <w:b/>
                <w:bCs/>
                <w:sz w:val="44"/>
                <w:szCs w:val="44"/>
                <w:lang w:val="en-US" w:eastAsia="zh-CN"/>
              </w:rPr>
            </w:pPr>
            <w:r>
              <w:rPr>
                <w:b/>
                <w:bCs/>
                <w:sz w:val="44"/>
                <w:szCs w:val="44"/>
              </w:rPr>
              <w:t>JXBS-3001-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Level</w:t>
            </w:r>
            <w:r>
              <w:rPr>
                <w:rFonts w:hint="eastAsia"/>
                <w:b/>
                <w:bCs/>
                <w:sz w:val="44"/>
                <w:szCs w:val="44"/>
                <w:highlight w:val="none"/>
                <w:lang w:val="en-US" w:eastAsia="zh-CN"/>
              </w:rPr>
              <w:t>_LORA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b/>
                <w:bCs/>
                <w:sz w:val="44"/>
                <w:szCs w:val="44"/>
              </w:rPr>
              <w:t>Ver1.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0</w:t>
            </w:r>
          </w:p>
        </w:tc>
      </w:tr>
    </w:tbl>
    <w:p>
      <w:pPr>
        <w:jc w:val="left"/>
        <w:rPr>
          <w:sz w:val="72"/>
          <w:szCs w:val="72"/>
        </w:rPr>
      </w:pPr>
      <w:bookmarkStart w:id="0" w:name="_Toc9570"/>
      <w:bookmarkStart w:id="1" w:name="_Toc447699485"/>
    </w:p>
    <w:p>
      <w:pPr>
        <w:jc w:val="left"/>
        <w:rPr>
          <w:sz w:val="72"/>
          <w:szCs w:val="72"/>
        </w:rPr>
      </w:pPr>
    </w:p>
    <w:p>
      <w:pPr>
        <w:jc w:val="left"/>
        <w:rPr>
          <w:sz w:val="72"/>
          <w:szCs w:val="72"/>
        </w:rPr>
      </w:pPr>
    </w:p>
    <w:p>
      <w:pPr>
        <w:jc w:val="center"/>
        <w:rPr>
          <w:b/>
          <w:bCs/>
          <w:sz w:val="30"/>
          <w:szCs w:val="30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endnotePr>
            <w:numFmt w:val="decimal"/>
          </w:endnotePr>
          <w:type w:val="continuous"/>
          <w:pgSz w:w="8392" w:h="11907"/>
          <w:pgMar w:top="720" w:right="720" w:bottom="720" w:left="720" w:header="851" w:footer="851" w:gutter="284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titlePg/>
          <w:docGrid w:type="linesAndChars" w:linePitch="360" w:charSpace="1861"/>
        </w:sectPr>
      </w:pPr>
      <w:r>
        <w:rPr>
          <w:rFonts w:hint="eastAsia"/>
          <w:b/>
          <w:bCs/>
          <w:sz w:val="30"/>
          <w:szCs w:val="30"/>
        </w:rPr>
        <w:t xml:space="preserve"> </w:t>
      </w:r>
    </w:p>
    <w:p>
      <w:pPr>
        <w:pStyle w:val="2"/>
        <w:rPr>
          <w:sz w:val="36"/>
          <w:szCs w:val="36"/>
        </w:rPr>
      </w:pPr>
      <w:r>
        <w:rPr>
          <w:sz w:val="36"/>
          <w:szCs w:val="36"/>
        </w:rPr>
        <w:t>产品简介</w:t>
      </w:r>
      <w:bookmarkEnd w:id="0"/>
      <w:bookmarkEnd w:id="1"/>
    </w:p>
    <w:p>
      <w:pPr>
        <w:pStyle w:val="3"/>
      </w:pPr>
      <w:bookmarkStart w:id="2" w:name="_Toc9769"/>
      <w:bookmarkStart w:id="3" w:name="_Toc447699486"/>
      <w:r>
        <w:t>产品概述</w:t>
      </w:r>
      <w:bookmarkEnd w:id="2"/>
      <w:bookmarkEnd w:id="3"/>
    </w:p>
    <w:p>
      <w:pPr>
        <w:spacing w:line="320" w:lineRule="exact"/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我司自主研发的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LoRa</w:t>
      </w:r>
      <w:r>
        <w:rPr>
          <w:rFonts w:hint="eastAsia" w:ascii="宋体" w:hAnsi="宋体" w:cs="宋体"/>
        </w:rPr>
        <w:t>传感器具有</w:t>
      </w:r>
      <w:r>
        <w:rPr>
          <w:rFonts w:hint="eastAsia" w:ascii="宋体" w:hAnsi="宋体"/>
        </w:rPr>
        <w:t>体积小、一体化集成的</w:t>
      </w:r>
      <w:r>
        <w:rPr>
          <w:rFonts w:hint="eastAsia" w:ascii="宋体" w:hAnsi="宋体"/>
          <w:color w:val="000000"/>
        </w:rPr>
        <w:t>特</w:t>
      </w:r>
      <w:r>
        <w:rPr>
          <w:rFonts w:hint="eastAsia" w:ascii="宋体" w:hAnsi="宋体"/>
        </w:rPr>
        <w:t>点，运输、携带和安装方便、可随时动态调整位置方便，设备外观、工作条件、安全要求、功能要求及通讯要求均可适应不同的测量环境。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产品网络传输采用稳定可靠的运营商网络、技术成熟传输稳定，信号强且覆盖范围广。同时设备支持定时采集数据并主动上传服务器平台。</w:t>
      </w:r>
    </w:p>
    <w:p>
      <w:pPr>
        <w:spacing w:line="320" w:lineRule="exact"/>
        <w:ind w:firstLine="498" w:firstLineChars="200"/>
        <w:rPr>
          <w:color w:val="000000"/>
        </w:rPr>
      </w:pPr>
      <w:r>
        <w:rPr>
          <w:rFonts w:hint="eastAsia"/>
          <w:highlight w:val="none"/>
          <w:lang w:val="en-US" w:eastAsia="zh-CN"/>
        </w:rPr>
        <w:t>投入式液位变送器</w:t>
      </w:r>
      <w:r>
        <w:rPr>
          <w:rFonts w:hint="eastAsia"/>
          <w:color w:val="000000"/>
        </w:rPr>
        <w:t>主要由进口测压元件传感器、测量电路、过程连接件三部分组成。它能将测压元件感受到的压力信号参数转换为标准的液位信号。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/>
          <w:color w:val="000000"/>
        </w:rPr>
        <w:t>当传感器投入到被测液体中某一深度时，被测介质的压力引入到传感器的正压腔，通过线缆导气管将液面上的大气压Po与传感器的负压腔相连，以抵消传感器正面的Po，使传感器测得压力,通过测取压力，可以得到液位深度。</w:t>
      </w:r>
    </w:p>
    <w:p>
      <w:pPr>
        <w:pStyle w:val="3"/>
      </w:pPr>
      <w:bookmarkStart w:id="4" w:name="_Toc447699487"/>
      <w:bookmarkStart w:id="5" w:name="_Toc27250"/>
      <w:r>
        <w:rPr>
          <w:highlight w:val="none"/>
        </w:rPr>
        <w:t>功能特点</w:t>
      </w:r>
      <w:bookmarkEnd w:id="4"/>
      <w:bookmarkEnd w:id="5"/>
    </w:p>
    <w:p>
      <w:pPr>
        <w:pStyle w:val="16"/>
        <w:spacing w:after="0" w:line="320" w:lineRule="exact"/>
        <w:ind w:firstLine="482"/>
        <w:rPr>
          <w:spacing w:val="-4"/>
          <w:kern w:val="2"/>
          <w:lang w:val="en-US" w:eastAsia="zh-CN"/>
        </w:rPr>
      </w:pPr>
      <w:bookmarkStart w:id="6" w:name="_Toc28848"/>
      <w:r>
        <w:rPr>
          <w:rFonts w:hint="eastAsia"/>
          <w:color w:val="000000"/>
        </w:rPr>
        <w:t>本产品采用进口的扩散硅压力检测传感器，信号稳定，精度高。抗干扰、温度漂移小、稳定性高，具有很高的测量精度，是工业自动化领域理想的液位测量仪表。</w:t>
      </w:r>
    </w:p>
    <w:p>
      <w:pPr>
        <w:pStyle w:val="3"/>
      </w:pPr>
      <w:r>
        <w:rPr>
          <w:rFonts w:hint="eastAsia" w:ascii="黑体" w:hAnsi="黑体" w:cs="黑体"/>
          <w:lang w:val="en-US" w:eastAsia="zh-CN"/>
        </w:rPr>
        <w:t>LoRa特性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传输距离：城镇可达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 xml:space="preserve"> Km ，郊区可达</w:t>
      </w:r>
      <w:r>
        <w:rPr>
          <w:rFonts w:hint="eastAsia"/>
          <w:lang w:val="en-US" w:eastAsia="zh-CN"/>
        </w:rPr>
        <w:t>3</w:t>
      </w:r>
      <w:r>
        <w:rPr>
          <w:rFonts w:hint="eastAsia"/>
          <w:lang w:eastAsia="zh-CN"/>
        </w:rPr>
        <w:t>Km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工作频率：ISM 频段 包括4</w:t>
      </w:r>
      <w:r>
        <w:rPr>
          <w:rFonts w:hint="eastAsia"/>
          <w:lang w:val="en-US" w:eastAsia="zh-CN"/>
        </w:rPr>
        <w:t>70-510</w:t>
      </w:r>
      <w:r>
        <w:rPr>
          <w:rFonts w:hint="eastAsia"/>
          <w:lang w:eastAsia="zh-CN"/>
        </w:rPr>
        <w:t xml:space="preserve"> MH</w:t>
      </w:r>
      <w:r>
        <w:rPr>
          <w:rFonts w:hint="eastAsia"/>
          <w:lang w:val="en-US" w:eastAsia="zh-CN"/>
        </w:rPr>
        <w:t>Z</w:t>
      </w:r>
      <w:r>
        <w:rPr>
          <w:rFonts w:hint="eastAsia"/>
          <w:lang w:eastAsia="zh-CN"/>
        </w:rPr>
        <w:t>等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标准：IEEE 802.15.4g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调制方式：基于扩频技术，semtech公司私有专利技术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容量：一个网关可以连接上千上万个LoRa节点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安全：AES128加密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Ansi="宋体"/>
          <w:szCs w:val="24"/>
        </w:rPr>
      </w:pPr>
      <w:r>
        <w:rPr>
          <w:rFonts w:hint="eastAsia"/>
          <w:lang w:eastAsia="zh-CN"/>
        </w:rPr>
        <w:t>传输速率：几百到几十Kbps，速率越低传输距离越长</w:t>
      </w:r>
    </w:p>
    <w:p>
      <w:pPr>
        <w:pStyle w:val="3"/>
        <w:spacing w:before="20" w:after="20"/>
        <w:ind w:left="578" w:hanging="578"/>
        <w:rPr>
          <w:highlight w:val="none"/>
        </w:rPr>
      </w:pPr>
      <w:r>
        <w:rPr>
          <w:rFonts w:hint="eastAsia"/>
          <w:highlight w:val="none"/>
          <w:lang w:val="en-US" w:eastAsia="zh-CN"/>
        </w:rPr>
        <w:t>LoRa</w:t>
      </w:r>
      <w:r>
        <w:rPr>
          <w:rFonts w:hint="eastAsia"/>
          <w:highlight w:val="none"/>
          <w:lang w:eastAsia="zh-CN"/>
        </w:rPr>
        <w:t>产品优势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成本低、覆盖广、低功耗、寿命长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一致、稳定、可靠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</w:rPr>
      </w:pPr>
      <w:r>
        <w:rPr>
          <w:rFonts w:hint="eastAsia"/>
          <w:lang w:eastAsia="zh-CN"/>
        </w:rPr>
        <w:t>传输距离远、信号强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</w:rPr>
      </w:pPr>
      <w:r>
        <w:rPr>
          <w:rFonts w:hint="eastAsia"/>
          <w:lang w:eastAsia="zh-CN"/>
        </w:rPr>
        <w:t>部署服务灵活性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</w:rPr>
      </w:pPr>
      <w:r>
        <w:rPr>
          <w:rFonts w:hint="eastAsia"/>
          <w:lang w:eastAsia="zh-CN"/>
        </w:rPr>
        <w:t>电池续航、使用寿命长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</w:rPr>
      </w:pPr>
      <w:r>
        <w:rPr>
          <w:rFonts w:hint="eastAsia"/>
        </w:rPr>
        <w:t>一种物理层的调制技术，可将其用于不同的协议中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</w:rPr>
      </w:pPr>
      <w:r>
        <w:rPr>
          <w:rFonts w:hint="eastAsia"/>
          <w:lang w:eastAsia="zh-CN"/>
        </w:rPr>
        <w:t>安全性、保密性好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578" w:hanging="578"/>
        <w:textAlignment w:val="auto"/>
      </w:pPr>
      <w:r>
        <w:rPr>
          <w:rFonts w:hint="eastAsia"/>
          <w:lang w:val="en-US" w:eastAsia="zh-CN"/>
        </w:rPr>
        <w:t>产品</w:t>
      </w:r>
      <w:r>
        <w:t>参数</w:t>
      </w:r>
      <w:bookmarkEnd w:id="6"/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textAlignment w:val="auto"/>
      </w:pPr>
      <w:r>
        <w:t>Lo</w:t>
      </w:r>
      <w:r>
        <w:rPr>
          <w:rFonts w:hint="eastAsia"/>
          <w:lang w:val="en-US" w:eastAsia="zh-CN"/>
        </w:rPr>
        <w:t>Ra</w:t>
      </w:r>
      <w:r>
        <w:t>参数</w:t>
      </w:r>
    </w:p>
    <w:tbl>
      <w:tblPr>
        <w:tblStyle w:val="37"/>
        <w:tblW w:w="0" w:type="auto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lang w:val="en-US" w:eastAsia="zh-CN"/>
              </w:rPr>
              <w:t>供电方式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内置锂电池或12V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left w:val="nil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工作频段</w:t>
            </w:r>
          </w:p>
        </w:tc>
        <w:tc>
          <w:tcPr>
            <w:tcW w:w="4665" w:type="dxa"/>
            <w:tcBorders>
              <w:top w:val="nil"/>
              <w:left w:val="nil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470-510</w:t>
            </w:r>
            <w:r>
              <w:rPr>
                <w:rFonts w:ascii="宋体" w:hAnsi="宋体" w:cs="宋体"/>
                <w:color w:val="000000"/>
              </w:rPr>
              <w:t>MHz频段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传输距离</w:t>
            </w:r>
          </w:p>
        </w:tc>
        <w:tc>
          <w:tcPr>
            <w:tcW w:w="4665" w:type="dxa"/>
            <w:tcBorders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1000</w:t>
            </w:r>
            <w:r>
              <w:rPr>
                <w:rFonts w:hint="eastAsia" w:ascii="宋体" w:hAnsi="宋体" w:cs="宋体"/>
                <w:color w:val="000000"/>
              </w:rPr>
              <w:t>米（默认）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/3km</w:t>
            </w:r>
            <w:r>
              <w:rPr>
                <w:rFonts w:hint="eastAsia" w:ascii="宋体" w:hAnsi="宋体" w:cs="宋体"/>
                <w:color w:val="000000"/>
              </w:rPr>
              <w:t>（理论极限）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信号协议</w:t>
            </w:r>
          </w:p>
        </w:tc>
        <w:tc>
          <w:tcPr>
            <w:tcW w:w="4665" w:type="dxa"/>
            <w:tcBorders>
              <w:top w:val="nil"/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</w:rPr>
              <w:t>Lo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R</w:t>
            </w:r>
            <w:r>
              <w:rPr>
                <w:rFonts w:hint="eastAsia" w:ascii="宋体" w:hAnsi="宋体" w:cs="宋体"/>
                <w:color w:val="000000"/>
              </w:rPr>
              <w:t>a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私有协议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lang w:val="en-US" w:eastAsia="zh-CN"/>
              </w:rPr>
              <w:t>工作温度</w:t>
            </w:r>
          </w:p>
        </w:tc>
        <w:tc>
          <w:tcPr>
            <w:tcW w:w="4665" w:type="dxa"/>
            <w:tcBorders>
              <w:top w:val="nil"/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-20~50℃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lang w:val="en-US" w:eastAsia="zh-CN"/>
              </w:rPr>
              <w:t>工作湿度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0~95%（相对湿度）、无凝结</w:t>
            </w:r>
          </w:p>
        </w:tc>
      </w:tr>
    </w:tbl>
    <w:p/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textAlignment w:val="auto"/>
      </w:pPr>
      <w:r>
        <w:rPr>
          <w:rFonts w:hint="eastAsia"/>
          <w:highlight w:val="none"/>
          <w:lang w:val="en-US" w:eastAsia="zh-CN"/>
        </w:rPr>
        <w:t>探头</w:t>
      </w:r>
      <w:r>
        <w:rPr>
          <w:rFonts w:hint="eastAsia"/>
          <w:highlight w:val="none"/>
        </w:rPr>
        <w:t>参数</w:t>
      </w:r>
    </w:p>
    <w:tbl>
      <w:tblPr>
        <w:tblStyle w:val="38"/>
        <w:tblW w:w="6595" w:type="dxa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10"/>
        <w:gridCol w:w="3685"/>
      </w:tblGrid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bottom w:val="single" w:color="auto" w:sz="4" w:space="0"/>
            </w:tcBorders>
            <w:shd w:val="clear" w:color="auto" w:fill="auto"/>
            <w:vAlign w:val="top"/>
          </w:tcPr>
          <w:p>
            <w:pPr>
              <w:rPr>
                <w:b/>
              </w:rPr>
            </w:pPr>
            <w:r>
              <w:rPr>
                <w:rFonts w:hint="eastAsia"/>
                <w:b/>
                <w:color w:val="000000"/>
              </w:rPr>
              <w:t>参数</w:t>
            </w:r>
          </w:p>
        </w:tc>
        <w:tc>
          <w:tcPr>
            <w:tcW w:w="3685" w:type="dxa"/>
            <w:tcBorders>
              <w:bottom w:val="single" w:color="auto" w:sz="4" w:space="0"/>
            </w:tcBorders>
            <w:shd w:val="clear" w:color="auto" w:fill="auto"/>
            <w:vAlign w:val="top"/>
          </w:tcPr>
          <w:p>
            <w:pPr>
              <w:rPr>
                <w:b/>
              </w:rPr>
            </w:pPr>
            <w:r>
              <w:rPr>
                <w:rFonts w:hint="eastAsia"/>
                <w:b/>
                <w:color w:val="000000"/>
              </w:rPr>
              <w:t>技术指标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b/>
              </w:rPr>
            </w:pPr>
            <w:r>
              <w:rPr>
                <w:rFonts w:hint="eastAsia"/>
                <w:b/>
                <w:color w:val="000000"/>
              </w:rPr>
              <w:t>测量介质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r>
              <w:rPr>
                <w:rFonts w:hint="eastAsia"/>
                <w:color w:val="000000"/>
              </w:rPr>
              <w:t>水（H</w:t>
            </w:r>
            <w:r>
              <w:rPr>
                <w:rFonts w:hint="eastAsia"/>
                <w:color w:val="000000"/>
                <w:vertAlign w:val="subscript"/>
              </w:rPr>
              <w:t>2</w:t>
            </w:r>
            <w:r>
              <w:rPr>
                <w:rFonts w:hint="eastAsia"/>
                <w:color w:val="000000"/>
              </w:rPr>
              <w:t>O）或与接触材质兼容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b/>
              </w:rPr>
            </w:pPr>
            <w:r>
              <w:rPr>
                <w:rFonts w:hint="eastAsia"/>
                <w:b/>
                <w:color w:val="000000"/>
              </w:rPr>
              <w:t>探头类型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r>
              <w:rPr>
                <w:rFonts w:hint="eastAsia"/>
                <w:color w:val="000000"/>
              </w:rPr>
              <w:t>进口扩散硅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b/>
              </w:rPr>
            </w:pPr>
            <w:r>
              <w:rPr>
                <w:rFonts w:hint="eastAsia"/>
                <w:b/>
                <w:color w:val="000000"/>
              </w:rPr>
              <w:t>精度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eastAsia" w:eastAsia="宋体"/>
                <w:lang w:eastAsia="zh-CN"/>
              </w:rPr>
            </w:pPr>
            <w:r>
              <w:rPr>
                <w:color w:val="000000"/>
              </w:rPr>
              <w:t>0.5</w:t>
            </w:r>
            <w:r>
              <w:rPr>
                <w:rFonts w:hint="eastAsia"/>
                <w:color w:val="000000"/>
              </w:rPr>
              <w:t>级(默认</w:t>
            </w:r>
            <w:r>
              <w:rPr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color w:val="000000"/>
              </w:rPr>
              <w:t>0.3</w:t>
            </w:r>
            <w:r>
              <w:rPr>
                <w:rFonts w:hint="eastAsia"/>
                <w:color w:val="000000"/>
              </w:rPr>
              <w:t>级/</w:t>
            </w:r>
            <w:r>
              <w:rPr>
                <w:color w:val="000000"/>
              </w:rPr>
              <w:t>0.1</w:t>
            </w:r>
            <w:r>
              <w:rPr>
                <w:rFonts w:hint="eastAsia"/>
                <w:color w:val="000000"/>
              </w:rPr>
              <w:t>级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  <w:color w:val="000000"/>
              </w:rPr>
              <w:t>介质温度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r>
              <w:rPr>
                <w:color w:val="000000"/>
              </w:rPr>
              <w:t>0-70</w:t>
            </w:r>
            <w:r>
              <w:rPr>
                <w:rFonts w:hint="eastAsia"/>
                <w:color w:val="000000"/>
              </w:rPr>
              <w:t>℃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  <w:color w:val="000000"/>
              </w:rPr>
              <w:t>稳定性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r>
              <w:rPr>
                <w:rFonts w:hint="eastAsia"/>
                <w:color w:val="000000"/>
              </w:rPr>
              <w:t>±</w:t>
            </w:r>
            <w:r>
              <w:rPr>
                <w:color w:val="000000"/>
              </w:rPr>
              <w:t>0.1% FS/</w:t>
            </w:r>
            <w:r>
              <w:rPr>
                <w:rFonts w:hint="eastAsia"/>
                <w:color w:val="000000"/>
              </w:rPr>
              <w:t>年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  <w:color w:val="000000"/>
              </w:rPr>
              <w:t>不灵敏区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r>
              <w:rPr>
                <w:rFonts w:hint="eastAsia"/>
                <w:color w:val="000000"/>
              </w:rPr>
              <w:t>≤±</w:t>
            </w:r>
            <w:r>
              <w:rPr>
                <w:color w:val="000000"/>
              </w:rPr>
              <w:t>1.0</w:t>
            </w:r>
            <w:r>
              <w:rPr>
                <w:rFonts w:hint="eastAsia"/>
                <w:color w:val="000000"/>
              </w:rPr>
              <w:t>%Fs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/>
                <w:b/>
                <w:color w:val="000000"/>
              </w:rPr>
              <w:t>量程范围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~</w:t>
            </w:r>
            <w:r>
              <w:rPr>
                <w:color w:val="000000"/>
              </w:rPr>
              <w:t>50</w:t>
            </w:r>
            <w:r>
              <w:rPr>
                <w:rFonts w:hint="eastAsia"/>
                <w:color w:val="000000"/>
              </w:rPr>
              <w:t>米</w:t>
            </w:r>
          </w:p>
        </w:tc>
      </w:tr>
    </w:tbl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sz w:val="36"/>
          <w:szCs w:val="36"/>
        </w:rPr>
      </w:pPr>
      <w:r>
        <w:rPr>
          <w:sz w:val="36"/>
          <w:szCs w:val="36"/>
        </w:rPr>
        <w:t>硬件连接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ind w:left="578" w:hanging="578"/>
        <w:textAlignment w:val="auto"/>
      </w:pPr>
      <w:bookmarkStart w:id="7" w:name="_Toc20338"/>
      <w:r>
        <w:t>设备安装前检查</w:t>
      </w:r>
      <w:bookmarkEnd w:id="7"/>
    </w:p>
    <w:p>
      <w:pPr>
        <w:ind w:firstLine="480" w:firstLineChars="193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安装设备前请检查设备清单：</w:t>
      </w:r>
    </w:p>
    <w:p>
      <w:pPr>
        <w:ind w:firstLine="480" w:firstLineChars="193"/>
        <w:jc w:val="left"/>
        <w:rPr>
          <w:rFonts w:hint="eastAsia" w:ascii="宋体" w:hAnsi="宋体"/>
        </w:rPr>
      </w:pPr>
    </w:p>
    <w:tbl>
      <w:tblPr>
        <w:tblStyle w:val="38"/>
        <w:tblW w:w="45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1"/>
        <w:gridCol w:w="21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  <w:t>名称</w:t>
            </w:r>
          </w:p>
        </w:tc>
        <w:tc>
          <w:tcPr>
            <w:tcW w:w="219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  <w:t>高精度传感器</w:t>
            </w:r>
          </w:p>
        </w:tc>
        <w:tc>
          <w:tcPr>
            <w:tcW w:w="2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</w:pPr>
            <w:r>
              <w:rPr>
                <w:rFonts w:hint="eastAsia" w:ascii="Cambria" w:hAnsi="Cambria"/>
                <w:color w:val="000000"/>
                <w:szCs w:val="24"/>
                <w:lang w:val="en-US" w:eastAsia="zh-CN"/>
              </w:rPr>
              <w:t>1台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rFonts w:hint="eastAsia"/>
                <w:b/>
                <w:color w:val="000000"/>
                <w:lang w:val="en-US" w:eastAsia="zh-CN"/>
              </w:rPr>
              <w:t>内置锂电池</w:t>
            </w:r>
          </w:p>
        </w:tc>
        <w:tc>
          <w:tcPr>
            <w:tcW w:w="2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</w:pPr>
            <w:r>
              <w:rPr>
                <w:rFonts w:hint="eastAsia" w:ascii="Cambria" w:hAnsi="Cambria"/>
                <w:color w:val="000000"/>
                <w:szCs w:val="24"/>
                <w:lang w:val="en-US" w:eastAsia="zh-CN"/>
              </w:rPr>
              <w:t>1台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rFonts w:ascii="Cambria" w:hAnsi="Cambria"/>
                <w:b/>
                <w:bCs/>
                <w:color w:val="000000"/>
                <w:szCs w:val="24"/>
                <w:lang w:val="en-US" w:eastAsia="zh-CN"/>
              </w:rPr>
              <w:t>L</w:t>
            </w:r>
            <w:r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  <w:t>oRa贯桥云盒</w:t>
            </w:r>
          </w:p>
        </w:tc>
        <w:tc>
          <w:tcPr>
            <w:tcW w:w="2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</w:pPr>
            <w:r>
              <w:rPr>
                <w:rFonts w:hint="eastAsia" w:ascii="Cambria" w:hAnsi="Cambria"/>
                <w:color w:val="000000"/>
                <w:szCs w:val="24"/>
                <w:lang w:val="en-US" w:eastAsia="zh-CN"/>
              </w:rPr>
              <w:t>1</w:t>
            </w:r>
            <w:r>
              <w:rPr>
                <w:rFonts w:ascii="Cambria" w:hAnsi="Cambria"/>
                <w:color w:val="000000"/>
                <w:szCs w:val="24"/>
                <w:lang w:val="en-US" w:eastAsia="zh-CN"/>
              </w:rPr>
              <w:t>个</w:t>
            </w:r>
            <w:r>
              <w:rPr>
                <w:rFonts w:hint="eastAsia" w:ascii="Cambria" w:hAnsi="Cambria"/>
                <w:color w:val="000000"/>
                <w:szCs w:val="24"/>
                <w:lang w:val="en-US" w:eastAsia="zh-CN"/>
              </w:rPr>
              <w:t>（选配）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rFonts w:ascii="Cambria" w:hAnsi="Cambria"/>
                <w:b/>
                <w:bCs/>
                <w:color w:val="000000"/>
                <w:szCs w:val="24"/>
                <w:lang w:val="en-US" w:eastAsia="zh-CN"/>
              </w:rPr>
              <w:t>12V 电适配器</w:t>
            </w:r>
          </w:p>
        </w:tc>
        <w:tc>
          <w:tcPr>
            <w:tcW w:w="2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</w:pPr>
            <w:r>
              <w:rPr>
                <w:rFonts w:ascii="Cambria" w:hAnsi="Cambria"/>
                <w:color w:val="000000"/>
                <w:szCs w:val="24"/>
                <w:lang w:val="en-US" w:eastAsia="zh-CN"/>
              </w:rPr>
              <w:t>1个（选配）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  <w:t>保修卡/合格证</w:t>
            </w:r>
          </w:p>
        </w:tc>
        <w:tc>
          <w:tcPr>
            <w:tcW w:w="219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</w:pPr>
            <w:r>
              <w:rPr>
                <w:rFonts w:hint="eastAsia" w:ascii="Cambria" w:hAnsi="Cambria"/>
                <w:color w:val="000000"/>
                <w:szCs w:val="24"/>
                <w:lang w:val="en-US" w:eastAsia="zh-CN"/>
              </w:rPr>
              <w:t>1份</w:t>
            </w:r>
          </w:p>
        </w:tc>
      </w:tr>
    </w:tbl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578" w:hanging="578"/>
        <w:textAlignment w:val="auto"/>
        <w:rPr>
          <w:rFonts w:hint="eastAsia" w:ascii="黑体" w:hAnsi="黑体" w:cs="黑体"/>
        </w:rPr>
      </w:pPr>
      <w:r>
        <w:rPr>
          <w:rFonts w:hint="eastAsia"/>
          <w:lang w:eastAsia="zh-CN"/>
        </w:rPr>
        <w:t>产品外观</w:t>
      </w:r>
      <w:r>
        <w:rPr>
          <w:rFonts w:hint="eastAsia"/>
        </w:rPr>
        <w:t>尺寸</w:t>
      </w:r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LoRa电池供电版本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</w:rPr>
      </w:pPr>
      <w:r>
        <w:rPr>
          <w:rFonts w:hint="eastAsia"/>
        </w:rPr>
        <w:t>以下是传感器的外观尺寸图，可根据尺寸和结构合理进行传感器的安装，如图所示：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/>
          <w:szCs w:val="22"/>
          <w:lang w:eastAsia="zh-CN"/>
        </w:rPr>
      </w:pPr>
    </w:p>
    <w:p>
      <w:pPr>
        <w:jc w:val="center"/>
        <w:rPr>
          <w:rFonts w:hint="eastAsia" w:eastAsia="宋体"/>
          <w:highlight w:val="green"/>
          <w:lang w:val="en-US"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3191510" cy="3191510"/>
            <wp:effectExtent l="0" t="0" r="8890" b="8890"/>
            <wp:docPr id="1" name="图片 1" descr="LoRa-投入式液位变送器-电池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LoRa-投入式液位变送器-电池版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91510" cy="319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bidi w:val="0"/>
        <w:rPr>
          <w:rFonts w:hint="eastAsia"/>
        </w:rPr>
      </w:pPr>
      <w:r>
        <w:rPr>
          <w:rFonts w:hint="eastAsia"/>
          <w:lang w:val="en-US" w:eastAsia="zh-CN"/>
        </w:rPr>
        <w:t>LoRa电源供电版本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</w:rPr>
      </w:pPr>
      <w:r>
        <w:rPr>
          <w:rFonts w:hint="eastAsia"/>
        </w:rPr>
        <w:t>以下是传感器的外观尺寸图，可根据尺寸和结构合理进行传感器的安装，如图所示：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jc w:val="center"/>
        <w:textAlignment w:val="auto"/>
        <w:rPr>
          <w:rFonts w:hint="default"/>
          <w:highlight w:val="green"/>
          <w:lang w:val="en-US"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3029585" cy="3029585"/>
            <wp:effectExtent l="0" t="0" r="18415" b="18415"/>
            <wp:docPr id="2" name="图片 2" descr="LoRa-投入式液位变送器-电源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LoRa-投入式液位变送器-电源版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29585" cy="302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9" w:name="_GoBack"/>
      <w:bookmarkEnd w:id="9"/>
    </w:p>
    <w:p>
      <w:pPr>
        <w:pStyle w:val="3"/>
        <w:rPr>
          <w:rFonts w:hint="eastAsia"/>
        </w:rPr>
      </w:pPr>
      <w:bookmarkStart w:id="8" w:name="_Toc13435"/>
      <w:r>
        <w:rPr>
          <w:rFonts w:hint="eastAsia"/>
          <w:lang w:val="en-US" w:eastAsia="zh-CN"/>
        </w:rPr>
        <w:t>产品</w:t>
      </w:r>
      <w:r>
        <w:rPr>
          <w:rFonts w:hint="eastAsia"/>
        </w:rPr>
        <w:t>安装</w:t>
      </w:r>
    </w:p>
    <w:p>
      <w:pPr>
        <w:spacing w:line="320" w:lineRule="exact"/>
        <w:ind w:firstLine="498" w:firstLineChars="200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</w:t>
      </w:r>
      <w:r>
        <w:rPr>
          <w:rFonts w:hint="eastAsia"/>
        </w:rPr>
        <w:t>联网型传感器采用壁挂式安装，安装孔位于设备两侧中部位置，安装孔径小于4mm，孔距105mm，可使用3mm的自攻螺丝安装，如下图所示。</w:t>
      </w:r>
    </w:p>
    <w:p>
      <w:pPr>
        <w:spacing w:line="240" w:lineRule="auto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4067175" cy="1600200"/>
            <wp:effectExtent l="0" t="0" r="9525" b="0"/>
            <wp:docPr id="8" name="图片 8" descr="水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水浸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20" w:lineRule="exact"/>
        <w:ind w:firstLine="498" w:firstLineChars="200"/>
        <w:rPr>
          <w:rFonts w:hint="eastAsia" w:eastAsia="宋体"/>
          <w:lang w:eastAsia="zh-CN"/>
        </w:rPr>
      </w:pPr>
    </w:p>
    <w:p>
      <w:pPr>
        <w:ind w:firstLine="498" w:firstLineChars="200"/>
        <w:rPr>
          <w:rFonts w:hint="eastAsia"/>
          <w:color w:val="000000"/>
          <w:lang w:eastAsia="zh-CN"/>
        </w:rPr>
      </w:pPr>
      <w:r>
        <w:rPr>
          <w:rFonts w:hint="eastAsia"/>
          <w:color w:val="000000"/>
        </w:rPr>
        <w:t>壁挂王子壳为壁挂式安装，安装孔位于设备两侧中部位置，安装孔径小于</w:t>
      </w:r>
      <w:r>
        <w:rPr>
          <w:color w:val="000000"/>
        </w:rPr>
        <w:t>4mm</w:t>
      </w:r>
      <w:r>
        <w:rPr>
          <w:rFonts w:hint="eastAsia"/>
          <w:color w:val="000000"/>
        </w:rPr>
        <w:t>，孔距</w:t>
      </w:r>
      <w:r>
        <w:rPr>
          <w:color w:val="000000"/>
        </w:rPr>
        <w:t>105mm</w:t>
      </w:r>
      <w:r>
        <w:rPr>
          <w:rFonts w:hint="eastAsia"/>
          <w:color w:val="000000"/>
        </w:rPr>
        <w:t>，可使用</w:t>
      </w:r>
      <w:r>
        <w:rPr>
          <w:color w:val="000000"/>
        </w:rPr>
        <w:t>3mm</w:t>
      </w:r>
      <w:r>
        <w:rPr>
          <w:rFonts w:hint="eastAsia"/>
          <w:color w:val="000000"/>
        </w:rPr>
        <w:t>的自攻螺丝安装</w:t>
      </w:r>
      <w:r>
        <w:rPr>
          <w:rFonts w:hint="eastAsia"/>
          <w:color w:val="000000"/>
          <w:lang w:eastAsia="zh-CN"/>
        </w:rPr>
        <w:t>。</w:t>
      </w:r>
    </w:p>
    <w:p>
      <w:pPr>
        <w:ind w:firstLine="578"/>
      </w:pPr>
      <w:r>
        <w:rPr>
          <w:rFonts w:hint="eastAsia"/>
          <w:color w:val="000000"/>
          <w:lang w:eastAsia="zh-CN"/>
        </w:rPr>
        <w:t>（</w:t>
      </w:r>
      <w:r>
        <w:rPr>
          <w:rFonts w:hint="eastAsia"/>
          <w:color w:val="000000"/>
          <w:lang w:val="en-US" w:eastAsia="zh-CN"/>
        </w:rPr>
        <w:t>2</w:t>
      </w:r>
      <w:r>
        <w:rPr>
          <w:rFonts w:hint="eastAsia"/>
          <w:color w:val="000000"/>
          <w:lang w:eastAsia="zh-CN"/>
        </w:rPr>
        <w:t>）</w:t>
      </w:r>
      <w:r>
        <w:rPr>
          <w:rFonts w:hint="eastAsia"/>
        </w:rPr>
        <w:t>变送器可垂直、倾斜或水平安装在罐体、槽内，需要将变送器安装到被测介质的底部，同时确保避免泥沙等杂质埋没或堵塞变送器探头部分。要轻拿轻放不能随意抛扔，安装该变送器时请不要使用蛮力。</w:t>
      </w:r>
    </w:p>
    <w:p>
      <w:pPr>
        <w:ind w:firstLine="578"/>
        <w:rPr>
          <w:rFonts w:hint="eastAsia"/>
          <w:highlight w:val="yellow"/>
        </w:rPr>
      </w:pPr>
      <w:r>
        <w:rPr>
          <w:rFonts w:hint="eastAsia"/>
        </w:rPr>
        <w:t>导气电缆除作为电源和信号传输外，还起到关键的大气补偿作用，安装时应避免对线缆锁定太紧或过于锐角弯折，以防止导气管不通或折断。</w:t>
      </w:r>
    </w:p>
    <w:p>
      <w:pPr>
        <w:pStyle w:val="4"/>
        <w:rPr>
          <w:rFonts w:hint="eastAsia"/>
          <w:lang w:eastAsia="zh-CN"/>
        </w:rPr>
      </w:pPr>
    </w:p>
    <w:p>
      <w:pPr>
        <w:ind w:firstLine="498" w:firstLineChars="200"/>
      </w:pPr>
      <w:r>
        <w:drawing>
          <wp:inline distT="0" distB="0" distL="114300" distR="114300">
            <wp:extent cx="3901440" cy="3248660"/>
            <wp:effectExtent l="0" t="0" r="3810" b="8890"/>
            <wp:docPr id="2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901440" cy="324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/>
          <w:lang w:eastAsia="zh-CN"/>
        </w:rPr>
        <w:t>使用说明</w:t>
      </w:r>
    </w:p>
    <w:p>
      <w:pPr>
        <w:numPr>
          <w:ilvl w:val="0"/>
          <w:numId w:val="3"/>
        </w:numPr>
        <w:ind w:firstLine="498" w:firstLineChars="200"/>
        <w:rPr>
          <w:rFonts w:hint="eastAsia"/>
        </w:rPr>
      </w:pPr>
      <w:r>
        <w:rPr>
          <w:rFonts w:hint="eastAsia"/>
        </w:rPr>
        <w:t>如果您也购买了我司的LoRa贯桥云盒，首先使用我司配送的12V电源适配器给贯桥云盒供电</w:t>
      </w:r>
      <w:r>
        <w:rPr>
          <w:rFonts w:hint="eastAsia"/>
          <w:lang w:eastAsia="zh-CN"/>
        </w:rPr>
        <w:t>。</w:t>
      </w:r>
    </w:p>
    <w:p>
      <w:pPr>
        <w:numPr>
          <w:ilvl w:val="0"/>
          <w:numId w:val="3"/>
        </w:numPr>
        <w:ind w:firstLine="498" w:firstLineChars="200"/>
        <w:rPr>
          <w:rFonts w:hint="eastAsia"/>
        </w:rPr>
      </w:pPr>
      <w:r>
        <w:rPr>
          <w:rFonts w:hint="eastAsia"/>
          <w:lang w:val="en-US" w:eastAsia="zh-CN"/>
        </w:rPr>
        <w:t>若传感器是电源供电版本，需要使用我司配送的电源适配器，供电即可；若是电池供电版本，只需按下传感器上的“电源”按键开关即可。</w:t>
      </w:r>
    </w:p>
    <w:p>
      <w:pPr>
        <w:numPr>
          <w:ilvl w:val="0"/>
          <w:numId w:val="3"/>
        </w:numPr>
        <w:ind w:firstLine="498" w:firstLineChars="200"/>
        <w:rPr>
          <w:rFonts w:hint="eastAsia"/>
        </w:rPr>
      </w:pPr>
      <w:r>
        <w:rPr>
          <w:rFonts w:hint="eastAsia"/>
          <w:lang w:val="en-US" w:eastAsia="zh-CN"/>
        </w:rPr>
        <w:t>前两步完成后，</w:t>
      </w:r>
      <w:r>
        <w:rPr>
          <w:rFonts w:hint="eastAsia"/>
        </w:rPr>
        <w:t>传感器和贯桥云盒之间通过无线模块建立连接，等待几分钟，使用传感器专有的ID，在我司服务器即可查看数据。</w:t>
      </w:r>
    </w:p>
    <w:p>
      <w:pPr>
        <w:ind w:firstLine="498" w:firstLineChars="200"/>
        <w:rPr>
          <w:rFonts w:hint="eastAsia"/>
          <w:lang w:eastAsia="zh-CN"/>
        </w:rPr>
      </w:pPr>
      <w:r>
        <w:rPr>
          <w:rFonts w:hint="eastAsia"/>
        </w:rPr>
        <w:t>注：传感器和贯桥云盒连接的建立时间和信号、距离以及传感器默认的上报时间相关</w:t>
      </w:r>
    </w:p>
    <w:bookmarkEnd w:id="8"/>
    <w:p>
      <w:pPr>
        <w:pStyle w:val="3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/>
          <w:szCs w:val="22"/>
          <w:lang w:eastAsia="zh-CN"/>
        </w:rPr>
        <w:t>使用注意事项</w:t>
      </w:r>
    </w:p>
    <w:p>
      <w:pPr>
        <w:pStyle w:val="5"/>
        <w:bidi w:val="0"/>
        <w:ind w:left="720" w:leftChars="0" w:hanging="7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LoRa贯桥云盒</w:t>
      </w:r>
    </w:p>
    <w:p>
      <w:pPr>
        <w:pStyle w:val="4"/>
        <w:numPr>
          <w:ilvl w:val="0"/>
          <w:numId w:val="4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设备在室外使用，需要放置在比较空旷、无遮挡位置</w:t>
      </w:r>
    </w:p>
    <w:p>
      <w:pPr>
        <w:pStyle w:val="4"/>
        <w:numPr>
          <w:ilvl w:val="0"/>
          <w:numId w:val="4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放置在高4-5米的位置，以增强信号强度和覆盖范围</w:t>
      </w:r>
    </w:p>
    <w:p>
      <w:pPr>
        <w:pStyle w:val="4"/>
        <w:numPr>
          <w:ilvl w:val="0"/>
          <w:numId w:val="4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在室外使用需做好防水处理</w:t>
      </w:r>
    </w:p>
    <w:p>
      <w:pPr>
        <w:pStyle w:val="4"/>
        <w:numPr>
          <w:ilvl w:val="0"/>
          <w:numId w:val="4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贯桥云盒的使用参照使用说明书进行操作</w:t>
      </w:r>
    </w:p>
    <w:p>
      <w:pPr>
        <w:pStyle w:val="5"/>
        <w:bidi w:val="0"/>
        <w:ind w:left="720" w:leftChars="0" w:hanging="720" w:firstLineChars="0"/>
        <w:rPr>
          <w:rFonts w:hint="eastAsia"/>
          <w:lang w:val="en-US" w:eastAsia="zh-CN"/>
        </w:rPr>
      </w:pPr>
      <w:r>
        <w:rPr>
          <w:rFonts w:hint="eastAsia" w:ascii="黑体" w:hAnsi="黑体" w:eastAsia="黑体" w:cs="黑体"/>
          <w:szCs w:val="24"/>
          <w:lang w:val="en-US" w:eastAsia="zh-CN"/>
        </w:rPr>
        <w:t>LoRa传感器</w:t>
      </w:r>
    </w:p>
    <w:p>
      <w:pPr>
        <w:pStyle w:val="4"/>
        <w:numPr>
          <w:ilvl w:val="0"/>
          <w:numId w:val="5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在室外使用，不能放置在低洼、密闭环境</w:t>
      </w:r>
    </w:p>
    <w:p>
      <w:pPr>
        <w:pStyle w:val="4"/>
        <w:numPr>
          <w:ilvl w:val="0"/>
          <w:numId w:val="5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设备放置在较高位置，增强信号的接收</w:t>
      </w:r>
    </w:p>
    <w:p>
      <w:pPr>
        <w:pStyle w:val="4"/>
        <w:numPr>
          <w:ilvl w:val="0"/>
          <w:numId w:val="5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在室外使用需做好防潮、高温处理</w:t>
      </w: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textAlignment w:val="auto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精讯云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578" w:hanging="578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>精讯云</w:t>
      </w:r>
      <w:r>
        <w:rPr>
          <w:rFonts w:hint="eastAsia"/>
        </w:rPr>
        <w:t>介绍</w:t>
      </w:r>
    </w:p>
    <w:p>
      <w:pPr>
        <w:pStyle w:val="4"/>
        <w:rPr>
          <w:rFonts w:hint="eastAsia"/>
          <w:sz w:val="36"/>
          <w:szCs w:val="36"/>
        </w:rPr>
      </w:pPr>
      <w:r>
        <w:rPr>
          <w:rFonts w:hint="eastAsia"/>
        </w:rPr>
        <w:t>精讯云，精讯畅通研发的一款</w:t>
      </w:r>
      <w:r>
        <w:rPr>
          <w:rFonts w:hint="eastAsia"/>
          <w:b/>
          <w:bCs/>
        </w:rPr>
        <w:t>通用性物联网云平台</w:t>
      </w:r>
      <w:r>
        <w:rPr>
          <w:rFonts w:hint="eastAsia"/>
        </w:rPr>
        <w:t>，以行业解决方案为基础，解决传统云平台重链接轻体验的问题，在链接基础上升级前段显示效果与风格，集成十余行业界面模板，是一套集合解决方案、数据采集、预警发布、远程控制、数据分析等为一体的物联网系统。精讯云提供数据</w:t>
      </w:r>
      <w:r>
        <w:rPr>
          <w:rFonts w:hint="eastAsia"/>
          <w:b/>
          <w:bCs/>
        </w:rPr>
        <w:t>记录、查询、导出、比较</w:t>
      </w:r>
      <w:r>
        <w:rPr>
          <w:rFonts w:hint="eastAsia"/>
        </w:rPr>
        <w:t>等功能，主要是在应用层为客户提供一站式的加入服务。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578" w:hanging="578"/>
        <w:textAlignment w:val="auto"/>
        <w:rPr>
          <w:rFonts w:hint="eastAsia" w:ascii="黑体" w:hAnsi="黑体" w:cs="黑体"/>
        </w:rPr>
      </w:pPr>
      <w:r>
        <w:rPr>
          <w:rFonts w:hint="eastAsia" w:ascii="黑体" w:hAnsi="黑体" w:cs="黑体"/>
          <w:color w:val="000000"/>
          <w:szCs w:val="28"/>
          <w:lang w:eastAsia="zh-CN"/>
        </w:rPr>
        <w:t>精讯云</w:t>
      </w:r>
      <w:r>
        <w:rPr>
          <w:rFonts w:hint="eastAsia" w:ascii="黑体" w:hAnsi="黑体" w:cs="黑体"/>
          <w:color w:val="000000"/>
          <w:szCs w:val="28"/>
        </w:rPr>
        <w:t>优势</w:t>
      </w:r>
    </w:p>
    <w:p>
      <w:pPr>
        <w:pStyle w:val="4"/>
        <w:spacing w:line="320" w:lineRule="exact"/>
        <w:rPr>
          <w:rFonts w:hint="eastAsia"/>
          <w:lang w:eastAsia="zh-CN"/>
        </w:rPr>
      </w:pPr>
      <w:r>
        <w:rPr>
          <w:rFonts w:hint="eastAsia"/>
          <w:lang w:eastAsia="zh-CN"/>
        </w:rPr>
        <w:t>（1）</w:t>
      </w:r>
      <w:r>
        <w:rPr>
          <w:rFonts w:hint="eastAsia"/>
        </w:rPr>
        <w:t>稳定性：</w:t>
      </w:r>
      <w:r>
        <w:rPr>
          <w:rFonts w:hint="eastAsia" w:ascii="宋体" w:hAnsi="宋体" w:cs="仿宋"/>
          <w:color w:val="000000"/>
          <w:szCs w:val="28"/>
        </w:rPr>
        <w:t>高稳定性，系统总体可用率大于99.7%，数据库应用可用率大于99.8%，并且会定期维护。</w:t>
      </w:r>
    </w:p>
    <w:p>
      <w:pPr>
        <w:pStyle w:val="4"/>
        <w:spacing w:line="320" w:lineRule="exact"/>
        <w:rPr>
          <w:rFonts w:hint="eastAsia" w:ascii="宋体" w:hAnsi="宋体" w:cs="仿宋"/>
          <w:color w:val="000000"/>
          <w:szCs w:val="28"/>
          <w:lang w:eastAsia="zh-CN"/>
        </w:rPr>
      </w:pPr>
      <w:r>
        <w:rPr>
          <w:rFonts w:hint="eastAsia" w:ascii="宋体" w:hAnsi="宋体" w:cs="仿宋"/>
          <w:color w:val="000000"/>
          <w:szCs w:val="28"/>
          <w:lang w:eastAsia="zh-CN"/>
        </w:rPr>
        <w:t>（2）</w:t>
      </w:r>
      <w:r>
        <w:rPr>
          <w:rFonts w:hint="eastAsia" w:ascii="宋体" w:hAnsi="宋体" w:cs="仿宋"/>
          <w:color w:val="000000"/>
          <w:szCs w:val="28"/>
        </w:rPr>
        <w:t>易操作性：提供友好的用户管理和使用界</w:t>
      </w:r>
    </w:p>
    <w:p>
      <w:pPr>
        <w:pStyle w:val="4"/>
        <w:spacing w:line="320" w:lineRule="exact"/>
        <w:rPr>
          <w:rFonts w:hint="eastAsia" w:ascii="宋体" w:hAnsi="宋体" w:cs="仿宋"/>
          <w:color w:val="000000"/>
          <w:szCs w:val="28"/>
          <w:lang w:eastAsia="zh-CN"/>
        </w:rPr>
      </w:pPr>
      <w:r>
        <w:rPr>
          <w:rFonts w:hint="eastAsia" w:ascii="宋体" w:hAnsi="宋体" w:cs="仿宋"/>
          <w:color w:val="000000"/>
          <w:szCs w:val="28"/>
          <w:lang w:eastAsia="zh-CN"/>
        </w:rPr>
        <w:t>（3）</w:t>
      </w:r>
      <w:r>
        <w:rPr>
          <w:rFonts w:hint="eastAsia"/>
        </w:rPr>
        <w:t>可靠性：</w:t>
      </w:r>
      <w:r>
        <w:rPr>
          <w:rFonts w:hint="eastAsia" w:ascii="宋体" w:hAnsi="宋体" w:cs="仿宋"/>
          <w:color w:val="000000"/>
          <w:szCs w:val="28"/>
        </w:rPr>
        <w:t>，在系统设计时，通过选择优秀的产品和采用必要的技术手段确保系统的可靠性</w:t>
      </w:r>
    </w:p>
    <w:p>
      <w:pPr>
        <w:pStyle w:val="4"/>
        <w:spacing w:line="320" w:lineRule="exact"/>
        <w:rPr>
          <w:rFonts w:hint="eastAsia"/>
          <w:lang w:eastAsia="zh-CN"/>
        </w:rPr>
      </w:pPr>
      <w:r>
        <w:rPr>
          <w:rFonts w:hint="eastAsia"/>
          <w:lang w:eastAsia="zh-CN"/>
        </w:rPr>
        <w:t>（4）</w:t>
      </w:r>
      <w:r>
        <w:rPr>
          <w:rFonts w:hint="eastAsia"/>
        </w:rPr>
        <w:t>兼容性：其他公司产品按照我司服务器协议，数据也可在我司平台产看</w:t>
      </w:r>
    </w:p>
    <w:p>
      <w:pPr>
        <w:pStyle w:val="4"/>
        <w:spacing w:line="320" w:lineRule="exact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（5）</w:t>
      </w:r>
      <w:r>
        <w:rPr>
          <w:rFonts w:hint="eastAsia"/>
          <w:lang w:val="en-US" w:eastAsia="zh-CN"/>
        </w:rPr>
        <w:t>“千人千面”：具有私有化部署，同时提供正常入口和中性入口两个入口，从中性入口进入后，客户看到的界面信息为客户自行设定的信息</w:t>
      </w:r>
    </w:p>
    <w:p>
      <w:pPr>
        <w:pStyle w:val="4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hint="eastAsia"/>
          <w:lang w:val="en-US" w:eastAsia="zh-CN"/>
        </w:rPr>
        <w:t>（6）</w:t>
      </w:r>
      <w:r>
        <w:rPr>
          <w:rFonts w:hint="eastAsia" w:ascii="宋体" w:hAnsi="宋体" w:cs="宋体"/>
        </w:rPr>
        <w:t>微信小程序</w:t>
      </w:r>
      <w:r>
        <w:rPr>
          <w:rFonts w:hint="eastAsia" w:ascii="宋体" w:hAnsi="宋体" w:cs="宋体"/>
          <w:lang w:eastAsia="zh-CN"/>
        </w:rPr>
        <w:t>：</w:t>
      </w:r>
      <w:r>
        <w:rPr>
          <w:rFonts w:hint="eastAsia" w:ascii="宋体" w:hAnsi="宋体" w:cs="宋体"/>
        </w:rPr>
        <w:t>可以手机微信简单、方便查看设备状态、数据、设备绑定地点等</w:t>
      </w:r>
      <w:r>
        <w:rPr>
          <w:rFonts w:hint="eastAsia" w:ascii="宋体" w:hAnsi="宋体" w:cs="宋体"/>
          <w:lang w:eastAsia="zh-CN"/>
        </w:rPr>
        <w:t>。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578" w:hanging="578"/>
        <w:textAlignment w:val="auto"/>
        <w:rPr>
          <w:rFonts w:hint="eastAsia"/>
          <w:szCs w:val="36"/>
          <w:lang w:eastAsia="zh-CN"/>
        </w:rPr>
      </w:pPr>
      <w:r>
        <w:rPr>
          <w:rFonts w:hint="eastAsia"/>
          <w:szCs w:val="36"/>
        </w:rPr>
        <w:t>传感器</w:t>
      </w:r>
      <w:r>
        <w:rPr>
          <w:rFonts w:hint="eastAsia"/>
          <w:szCs w:val="36"/>
          <w:lang w:eastAsia="zh-CN"/>
        </w:rPr>
        <w:t>数据查询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当您购买的传感器带有上报功能，您可以通过精讯云服务器远程查看数据，方便快捷。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传感器设备通过</w:t>
      </w:r>
      <w:r>
        <w:rPr>
          <w:rFonts w:hint="eastAsia"/>
          <w:lang w:val="en-US" w:eastAsia="zh-CN"/>
        </w:rPr>
        <w:t>LoRa</w:t>
      </w:r>
      <w:r>
        <w:rPr>
          <w:rFonts w:hint="eastAsia"/>
        </w:rPr>
        <w:t>网络模块</w:t>
      </w:r>
      <w:r>
        <w:rPr>
          <w:rFonts w:hint="eastAsia"/>
          <w:lang w:val="en-US" w:eastAsia="zh-CN"/>
        </w:rPr>
        <w:t>和网关建立连接，网关</w:t>
      </w:r>
      <w:r>
        <w:rPr>
          <w:rFonts w:hint="eastAsia"/>
        </w:rPr>
        <w:t>和精讯云服务器</w:t>
      </w:r>
      <w:r>
        <w:rPr>
          <w:rFonts w:hint="eastAsia"/>
          <w:lang w:val="en-US" w:eastAsia="zh-CN"/>
        </w:rPr>
        <w:t>通过无线网络</w:t>
      </w:r>
      <w:r>
        <w:rPr>
          <w:rFonts w:hint="eastAsia"/>
        </w:rPr>
        <w:t>建立连接，按照默认的频率（频率可调）将数据上报到云端服务器。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您只需使用已注册的精讯云账号登录服务器后，通过使用每台主机专有的“身份ID”即可查询设备的数据。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同时平台还具有报警功能，您只需通过平台设置报警数值，监测数据超过报警数值，平台会通过短信或者QQ邮箱通知您，让您更加方便、快捷的监测数据。</w:t>
      </w:r>
    </w:p>
    <w:p>
      <w:pPr>
        <w:ind w:firstLine="498" w:firstLineChars="200"/>
        <w:rPr>
          <w:rFonts w:hint="eastAsia" w:eastAsia="宋体"/>
          <w:lang w:eastAsia="zh-CN"/>
        </w:rPr>
      </w:pPr>
      <w:r>
        <w:rPr>
          <w:rFonts w:hint="eastAsia"/>
        </w:rPr>
        <w:t>注：您可联系我司售后工作人员，了解平台的具体功能</w:t>
      </w:r>
      <w:r>
        <w:rPr>
          <w:rFonts w:hint="eastAsia"/>
          <w:lang w:eastAsia="zh-CN"/>
        </w:rPr>
        <w:t>。</w:t>
      </w:r>
    </w:p>
    <w:sectPr>
      <w:endnotePr>
        <w:numFmt w:val="decimal"/>
      </w:endnotePr>
      <w:pgSz w:w="8392" w:h="11907"/>
      <w:pgMar w:top="720" w:right="720" w:bottom="720" w:left="720" w:header="851" w:footer="851" w:gutter="284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New York">
    <w:altName w:val="Segoe Print"/>
    <w:panose1 w:val="020405030605060203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2" o:spid="_x0000_s2052" o:spt="1" style="position:absolute;left:0pt;margin-left:0pt;margin-top:0.15pt;height:14.4pt;width:42pt;mso-position-horizontal-relative:margin;z-index:-251651072;v-text-anchor:middle;mso-width-relative:page;mso-height-relative:page;" fillcolor="#00B0F0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15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  <w:p>
    <w:pPr>
      <w:pStyle w:val="2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wordWrap w:val="0"/>
      <w:jc w:val="right"/>
      <w:rPr>
        <w:rFonts w:ascii="微软雅黑" w:hAnsi="微软雅黑" w:eastAsia="微软雅黑"/>
        <w:b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3" o:spid="_x0000_s2051" o:spt="1" style="position:absolute;left:0pt;margin-top:-0.05pt;height:14.4pt;width:42pt;mso-position-horizontal:right;mso-position-horizontal-relative:margin;z-index:-251653120;v-text-anchor:middle;mso-width-relative:page;mso-height-relative:page;" fillcolor="#00B0F0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14</w:t>
    </w:r>
    <w:r>
      <w:rPr>
        <w:rFonts w:ascii="微软雅黑" w:hAnsi="微软雅黑" w:eastAsia="微软雅黑"/>
        <w:b/>
        <w:color w:val="00B0F0"/>
        <w:sz w:val="20"/>
      </w:rPr>
      <w:fldChar w:fldCharType="end"/>
    </w:r>
    <w:r>
      <w:rPr>
        <w:rFonts w:hint="eastAsia" w:ascii="微软雅黑" w:hAnsi="微软雅黑" w:eastAsia="微软雅黑"/>
        <w:b/>
        <w:color w:val="00B0F0"/>
        <w:sz w:val="20"/>
      </w:rPr>
      <w:t xml:space="preserve">          </w:t>
    </w:r>
  </w:p>
  <w:p>
    <w:pPr>
      <w:pStyle w:val="2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left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537845</wp:posOffset>
          </wp:positionH>
          <wp:positionV relativeFrom="page">
            <wp:posOffset>483870</wp:posOffset>
          </wp:positionV>
          <wp:extent cx="2353310" cy="269240"/>
          <wp:effectExtent l="0" t="0" r="0" b="0"/>
          <wp:wrapNone/>
          <wp:docPr id="11" name="图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图片 1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3235" cy="2689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  <w:rPr>
        <w:rFonts w:ascii="微软雅黑" w:hAnsi="微软雅黑" w:eastAsia="微软雅黑"/>
        <w:color w:val="00B0F0"/>
      </w:rPr>
    </w:pPr>
    <w:r>
      <w:rPr>
        <w:rFonts w:ascii="微软雅黑" w:hAnsi="微软雅黑" w:eastAsia="微软雅黑"/>
        <w:color w:val="00B0F0"/>
        <w:lang w:val="zh-CN"/>
      </w:rPr>
      <w:pict>
        <v:line id="直接连接符 2" o:spid="_x0000_s2049" o:spt="20" style="position:absolute;left:0pt;margin-left:170.55pt;margin-top:18.1pt;height:0pt;width:154.75pt;z-index:251661312;mso-width-relative:page;mso-height-relative:page;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">
          <v:path arrowok="t"/>
          <v:fill focussize="0,0"/>
          <v:stroke weight="0.5pt" color="#00B0F0" joinstyle="miter"/>
          <v:imagedata o:title=""/>
          <o:lock v:ext="edit"/>
        </v:line>
      </w:pict>
    </w:r>
    <w:r>
      <w:rPr>
        <w:rFonts w:hint="eastAsia" w:ascii="微软雅黑" w:hAnsi="微软雅黑" w:eastAsia="微软雅黑"/>
        <w:color w:val="00B0F0"/>
      </w:rPr>
      <w:t>一站式物联网供应平台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645DABE"/>
    <w:multiLevelType w:val="singleLevel"/>
    <w:tmpl w:val="D645DABE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25895EE1"/>
    <w:multiLevelType w:val="singleLevel"/>
    <w:tmpl w:val="25895EE1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6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3">
    <w:nsid w:val="74E41A88"/>
    <w:multiLevelType w:val="multilevel"/>
    <w:tmpl w:val="74E41A88"/>
    <w:lvl w:ilvl="0" w:tentative="0">
      <w:start w:val="1"/>
      <w:numFmt w:val="bullet"/>
      <w:lvlText w:val=""/>
      <w:lvlJc w:val="left"/>
      <w:pPr>
        <w:ind w:left="918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338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758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78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598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18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438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858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278" w:hanging="420"/>
      </w:pPr>
      <w:rPr>
        <w:rFonts w:hint="default" w:ascii="Wingdings" w:hAnsi="Wingdings"/>
      </w:rPr>
    </w:lvl>
  </w:abstractNum>
  <w:abstractNum w:abstractNumId="4">
    <w:nsid w:val="7F086E66"/>
    <w:multiLevelType w:val="singleLevel"/>
    <w:tmpl w:val="7F086E66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attachedTemplate r:id="rId1"/>
  <w:documentProtection w:enforcement="0"/>
  <w:defaultTabStop w:val="578"/>
  <w:evenAndOddHeaders w:val="1"/>
  <w:drawingGridHorizontalSpacing w:val="249"/>
  <w:displayHorizontalDrawingGridEvery w:val="1"/>
  <w:displayVerticalDrawingGridEvery w:val="1"/>
  <w:noPunctuationKerning w:val="1"/>
  <w:characterSpacingControl w:val="doNotCompress"/>
  <w:doNotValidateAgainstSchema/>
  <w:doNotDemarcateInvalidXml/>
  <w:hdrShapeDefaults>
    <o:shapelayout v:ext="edit">
      <o:idmap v:ext="edit" data="2"/>
    </o:shapelayout>
  </w:hdrShapeDefaults>
  <w:endnotePr>
    <w:pos w:val="sectEnd"/>
    <w:numFmt w:val="decimal"/>
  </w:endnotePr>
  <w:compat>
    <w:spaceForUL/>
    <w:balanceSingleByteDoubleByteWidth/>
    <w:doNotLeaveBackslashAlone/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172A27"/>
    <w:rsid w:val="00005380"/>
    <w:rsid w:val="00005BCC"/>
    <w:rsid w:val="00005C61"/>
    <w:rsid w:val="000118D2"/>
    <w:rsid w:val="000164CF"/>
    <w:rsid w:val="00023BC2"/>
    <w:rsid w:val="0002581F"/>
    <w:rsid w:val="00031CD9"/>
    <w:rsid w:val="000377C3"/>
    <w:rsid w:val="00044318"/>
    <w:rsid w:val="00044758"/>
    <w:rsid w:val="00054072"/>
    <w:rsid w:val="00055638"/>
    <w:rsid w:val="00072C2D"/>
    <w:rsid w:val="00075945"/>
    <w:rsid w:val="0008027C"/>
    <w:rsid w:val="00082BBA"/>
    <w:rsid w:val="00083C57"/>
    <w:rsid w:val="00085932"/>
    <w:rsid w:val="000925F2"/>
    <w:rsid w:val="00092902"/>
    <w:rsid w:val="00092EB4"/>
    <w:rsid w:val="00096EEA"/>
    <w:rsid w:val="000A0336"/>
    <w:rsid w:val="000A2545"/>
    <w:rsid w:val="000A5F5D"/>
    <w:rsid w:val="000B125D"/>
    <w:rsid w:val="000C4A53"/>
    <w:rsid w:val="000D0191"/>
    <w:rsid w:val="000D048C"/>
    <w:rsid w:val="000E0455"/>
    <w:rsid w:val="000E1D85"/>
    <w:rsid w:val="000E2A73"/>
    <w:rsid w:val="000E593A"/>
    <w:rsid w:val="000F0341"/>
    <w:rsid w:val="000F33D3"/>
    <w:rsid w:val="000F7E4E"/>
    <w:rsid w:val="00101EBF"/>
    <w:rsid w:val="00102C9A"/>
    <w:rsid w:val="001136B9"/>
    <w:rsid w:val="00137699"/>
    <w:rsid w:val="00141825"/>
    <w:rsid w:val="0014770C"/>
    <w:rsid w:val="001535D6"/>
    <w:rsid w:val="00163A2D"/>
    <w:rsid w:val="00172A27"/>
    <w:rsid w:val="0018212F"/>
    <w:rsid w:val="0018491F"/>
    <w:rsid w:val="00185628"/>
    <w:rsid w:val="001907CE"/>
    <w:rsid w:val="00197060"/>
    <w:rsid w:val="001A1EEE"/>
    <w:rsid w:val="001C14DC"/>
    <w:rsid w:val="001C261E"/>
    <w:rsid w:val="001C417A"/>
    <w:rsid w:val="001C53D0"/>
    <w:rsid w:val="001C6458"/>
    <w:rsid w:val="001D0E18"/>
    <w:rsid w:val="001E1BFF"/>
    <w:rsid w:val="001E410C"/>
    <w:rsid w:val="001E6F58"/>
    <w:rsid w:val="001F2E0B"/>
    <w:rsid w:val="001F3E16"/>
    <w:rsid w:val="001F65E3"/>
    <w:rsid w:val="001F6F4A"/>
    <w:rsid w:val="001F7140"/>
    <w:rsid w:val="0021011A"/>
    <w:rsid w:val="00212AFB"/>
    <w:rsid w:val="00215533"/>
    <w:rsid w:val="00221561"/>
    <w:rsid w:val="00222EFA"/>
    <w:rsid w:val="0022661A"/>
    <w:rsid w:val="00226D56"/>
    <w:rsid w:val="002301D0"/>
    <w:rsid w:val="00231996"/>
    <w:rsid w:val="00247A63"/>
    <w:rsid w:val="0025036C"/>
    <w:rsid w:val="0025531A"/>
    <w:rsid w:val="0025754B"/>
    <w:rsid w:val="002628E0"/>
    <w:rsid w:val="00262E9D"/>
    <w:rsid w:val="00264E0C"/>
    <w:rsid w:val="0027170F"/>
    <w:rsid w:val="002750D2"/>
    <w:rsid w:val="002754C0"/>
    <w:rsid w:val="0028792B"/>
    <w:rsid w:val="00291BD0"/>
    <w:rsid w:val="00294C8C"/>
    <w:rsid w:val="002960A3"/>
    <w:rsid w:val="00297CDE"/>
    <w:rsid w:val="002A1EB2"/>
    <w:rsid w:val="002A5C96"/>
    <w:rsid w:val="002B23B2"/>
    <w:rsid w:val="002B36AD"/>
    <w:rsid w:val="002B7447"/>
    <w:rsid w:val="002E5B50"/>
    <w:rsid w:val="002F4220"/>
    <w:rsid w:val="00303FEB"/>
    <w:rsid w:val="00311251"/>
    <w:rsid w:val="00312A01"/>
    <w:rsid w:val="00312AE0"/>
    <w:rsid w:val="00327B06"/>
    <w:rsid w:val="00327B12"/>
    <w:rsid w:val="00334163"/>
    <w:rsid w:val="00341E4C"/>
    <w:rsid w:val="00357602"/>
    <w:rsid w:val="00365464"/>
    <w:rsid w:val="00366142"/>
    <w:rsid w:val="00372BF9"/>
    <w:rsid w:val="00377A24"/>
    <w:rsid w:val="00380E55"/>
    <w:rsid w:val="00397C5C"/>
    <w:rsid w:val="003A1D59"/>
    <w:rsid w:val="003A2063"/>
    <w:rsid w:val="003A4BFD"/>
    <w:rsid w:val="003A60D3"/>
    <w:rsid w:val="003C742F"/>
    <w:rsid w:val="003C7919"/>
    <w:rsid w:val="003E27B1"/>
    <w:rsid w:val="003F3922"/>
    <w:rsid w:val="00410730"/>
    <w:rsid w:val="00413B3F"/>
    <w:rsid w:val="004203E7"/>
    <w:rsid w:val="004369A4"/>
    <w:rsid w:val="00440039"/>
    <w:rsid w:val="004470B2"/>
    <w:rsid w:val="00447CFE"/>
    <w:rsid w:val="004524C2"/>
    <w:rsid w:val="004620F0"/>
    <w:rsid w:val="004866D4"/>
    <w:rsid w:val="00492000"/>
    <w:rsid w:val="004B05E7"/>
    <w:rsid w:val="004C2B5A"/>
    <w:rsid w:val="004C68AF"/>
    <w:rsid w:val="004D1310"/>
    <w:rsid w:val="004D4314"/>
    <w:rsid w:val="004D48C7"/>
    <w:rsid w:val="004D4F8F"/>
    <w:rsid w:val="004E51D7"/>
    <w:rsid w:val="004E59FF"/>
    <w:rsid w:val="004F0B2D"/>
    <w:rsid w:val="004F71EA"/>
    <w:rsid w:val="00501E86"/>
    <w:rsid w:val="00507EC5"/>
    <w:rsid w:val="00511C37"/>
    <w:rsid w:val="005151E1"/>
    <w:rsid w:val="005261BA"/>
    <w:rsid w:val="00530A1C"/>
    <w:rsid w:val="00530A75"/>
    <w:rsid w:val="00532650"/>
    <w:rsid w:val="005455D1"/>
    <w:rsid w:val="005533EB"/>
    <w:rsid w:val="00557086"/>
    <w:rsid w:val="00557DDB"/>
    <w:rsid w:val="005765B7"/>
    <w:rsid w:val="00582F6D"/>
    <w:rsid w:val="0058647D"/>
    <w:rsid w:val="00592013"/>
    <w:rsid w:val="0059422B"/>
    <w:rsid w:val="00596558"/>
    <w:rsid w:val="005B053F"/>
    <w:rsid w:val="005B351D"/>
    <w:rsid w:val="005B3B1D"/>
    <w:rsid w:val="005B71E3"/>
    <w:rsid w:val="005C616A"/>
    <w:rsid w:val="005C6324"/>
    <w:rsid w:val="005D1C65"/>
    <w:rsid w:val="005D20C4"/>
    <w:rsid w:val="005D36DB"/>
    <w:rsid w:val="005D3A62"/>
    <w:rsid w:val="005D5E9B"/>
    <w:rsid w:val="005D7568"/>
    <w:rsid w:val="005E31ED"/>
    <w:rsid w:val="005E6F0C"/>
    <w:rsid w:val="005E7511"/>
    <w:rsid w:val="005E7E8E"/>
    <w:rsid w:val="005F1D0F"/>
    <w:rsid w:val="005F5BF0"/>
    <w:rsid w:val="00612A37"/>
    <w:rsid w:val="00623162"/>
    <w:rsid w:val="00625692"/>
    <w:rsid w:val="006319E6"/>
    <w:rsid w:val="00635126"/>
    <w:rsid w:val="00637DA3"/>
    <w:rsid w:val="006511B6"/>
    <w:rsid w:val="00654832"/>
    <w:rsid w:val="006575C8"/>
    <w:rsid w:val="006578B2"/>
    <w:rsid w:val="00657F88"/>
    <w:rsid w:val="006613CD"/>
    <w:rsid w:val="0066226C"/>
    <w:rsid w:val="006660FA"/>
    <w:rsid w:val="00674A01"/>
    <w:rsid w:val="006A5C78"/>
    <w:rsid w:val="006B06B7"/>
    <w:rsid w:val="006B1637"/>
    <w:rsid w:val="006B2251"/>
    <w:rsid w:val="006B6550"/>
    <w:rsid w:val="006B7E51"/>
    <w:rsid w:val="006C069A"/>
    <w:rsid w:val="006C0C1B"/>
    <w:rsid w:val="006F0A49"/>
    <w:rsid w:val="006F47AC"/>
    <w:rsid w:val="006F596C"/>
    <w:rsid w:val="006F6377"/>
    <w:rsid w:val="006F79E4"/>
    <w:rsid w:val="007014F6"/>
    <w:rsid w:val="00703A71"/>
    <w:rsid w:val="007171DB"/>
    <w:rsid w:val="007216E2"/>
    <w:rsid w:val="00727853"/>
    <w:rsid w:val="007372FD"/>
    <w:rsid w:val="00746009"/>
    <w:rsid w:val="00757C52"/>
    <w:rsid w:val="00777086"/>
    <w:rsid w:val="007770FF"/>
    <w:rsid w:val="00784CE7"/>
    <w:rsid w:val="007866EE"/>
    <w:rsid w:val="007959CD"/>
    <w:rsid w:val="007A52AA"/>
    <w:rsid w:val="007A57DE"/>
    <w:rsid w:val="007B08EE"/>
    <w:rsid w:val="007E0D2C"/>
    <w:rsid w:val="007E1041"/>
    <w:rsid w:val="007E5624"/>
    <w:rsid w:val="007E798E"/>
    <w:rsid w:val="007F615F"/>
    <w:rsid w:val="007F6671"/>
    <w:rsid w:val="00802B9E"/>
    <w:rsid w:val="00804A55"/>
    <w:rsid w:val="008121CF"/>
    <w:rsid w:val="0081612E"/>
    <w:rsid w:val="00817633"/>
    <w:rsid w:val="00817AD4"/>
    <w:rsid w:val="00821D5D"/>
    <w:rsid w:val="00826BF6"/>
    <w:rsid w:val="008304E9"/>
    <w:rsid w:val="00832BA1"/>
    <w:rsid w:val="00834DB5"/>
    <w:rsid w:val="008512A9"/>
    <w:rsid w:val="00852D61"/>
    <w:rsid w:val="008545EA"/>
    <w:rsid w:val="00861B67"/>
    <w:rsid w:val="00873805"/>
    <w:rsid w:val="008751F8"/>
    <w:rsid w:val="008811E9"/>
    <w:rsid w:val="0088272F"/>
    <w:rsid w:val="0089247B"/>
    <w:rsid w:val="008A20EB"/>
    <w:rsid w:val="008B2D42"/>
    <w:rsid w:val="008C3111"/>
    <w:rsid w:val="008C39EB"/>
    <w:rsid w:val="008C4EA3"/>
    <w:rsid w:val="008C6627"/>
    <w:rsid w:val="008D7A49"/>
    <w:rsid w:val="008E237E"/>
    <w:rsid w:val="008F27C2"/>
    <w:rsid w:val="008F57BA"/>
    <w:rsid w:val="00910791"/>
    <w:rsid w:val="00911EF2"/>
    <w:rsid w:val="00916995"/>
    <w:rsid w:val="00922CEC"/>
    <w:rsid w:val="00924DF3"/>
    <w:rsid w:val="00933653"/>
    <w:rsid w:val="00934F4A"/>
    <w:rsid w:val="00936BE9"/>
    <w:rsid w:val="009462DC"/>
    <w:rsid w:val="00955821"/>
    <w:rsid w:val="00957FA1"/>
    <w:rsid w:val="00960BD9"/>
    <w:rsid w:val="00961AA0"/>
    <w:rsid w:val="009731AA"/>
    <w:rsid w:val="00973286"/>
    <w:rsid w:val="009828D9"/>
    <w:rsid w:val="00987871"/>
    <w:rsid w:val="00991859"/>
    <w:rsid w:val="00995D9F"/>
    <w:rsid w:val="00996199"/>
    <w:rsid w:val="009A0674"/>
    <w:rsid w:val="009B7E39"/>
    <w:rsid w:val="009C1B09"/>
    <w:rsid w:val="009C2368"/>
    <w:rsid w:val="009C33C3"/>
    <w:rsid w:val="009C4ADD"/>
    <w:rsid w:val="009D2AB7"/>
    <w:rsid w:val="009D5CF3"/>
    <w:rsid w:val="009E1249"/>
    <w:rsid w:val="009E3D73"/>
    <w:rsid w:val="009E4455"/>
    <w:rsid w:val="009E67E2"/>
    <w:rsid w:val="00A12332"/>
    <w:rsid w:val="00A17DD2"/>
    <w:rsid w:val="00A241CD"/>
    <w:rsid w:val="00A2420D"/>
    <w:rsid w:val="00A26690"/>
    <w:rsid w:val="00A3401D"/>
    <w:rsid w:val="00A36002"/>
    <w:rsid w:val="00A646CA"/>
    <w:rsid w:val="00A70B6B"/>
    <w:rsid w:val="00A72E84"/>
    <w:rsid w:val="00A73B10"/>
    <w:rsid w:val="00A840CA"/>
    <w:rsid w:val="00A86988"/>
    <w:rsid w:val="00A9139A"/>
    <w:rsid w:val="00A93866"/>
    <w:rsid w:val="00A94CEA"/>
    <w:rsid w:val="00A94D88"/>
    <w:rsid w:val="00AA4F9D"/>
    <w:rsid w:val="00AB0425"/>
    <w:rsid w:val="00AB5E64"/>
    <w:rsid w:val="00AD2244"/>
    <w:rsid w:val="00AD3A5B"/>
    <w:rsid w:val="00AD4423"/>
    <w:rsid w:val="00AD45BB"/>
    <w:rsid w:val="00AD4701"/>
    <w:rsid w:val="00AE23AE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22A13"/>
    <w:rsid w:val="00B34933"/>
    <w:rsid w:val="00B3526D"/>
    <w:rsid w:val="00B365F1"/>
    <w:rsid w:val="00B41A7C"/>
    <w:rsid w:val="00B43FDF"/>
    <w:rsid w:val="00B45350"/>
    <w:rsid w:val="00B52AE2"/>
    <w:rsid w:val="00B5700D"/>
    <w:rsid w:val="00B66629"/>
    <w:rsid w:val="00B704E4"/>
    <w:rsid w:val="00B96A9A"/>
    <w:rsid w:val="00BA0EC3"/>
    <w:rsid w:val="00BA288E"/>
    <w:rsid w:val="00BA2DBE"/>
    <w:rsid w:val="00BA3FFB"/>
    <w:rsid w:val="00BC3627"/>
    <w:rsid w:val="00BF275D"/>
    <w:rsid w:val="00C13F65"/>
    <w:rsid w:val="00C314B8"/>
    <w:rsid w:val="00C3191A"/>
    <w:rsid w:val="00C31C85"/>
    <w:rsid w:val="00C33707"/>
    <w:rsid w:val="00C3686C"/>
    <w:rsid w:val="00C4457D"/>
    <w:rsid w:val="00C44FF7"/>
    <w:rsid w:val="00C50ACC"/>
    <w:rsid w:val="00C5206F"/>
    <w:rsid w:val="00C6221D"/>
    <w:rsid w:val="00C63335"/>
    <w:rsid w:val="00C722CA"/>
    <w:rsid w:val="00C766B1"/>
    <w:rsid w:val="00C76814"/>
    <w:rsid w:val="00C86701"/>
    <w:rsid w:val="00C870E2"/>
    <w:rsid w:val="00C90CE7"/>
    <w:rsid w:val="00CA0E0A"/>
    <w:rsid w:val="00CB27C1"/>
    <w:rsid w:val="00CD6A49"/>
    <w:rsid w:val="00CF2AA3"/>
    <w:rsid w:val="00CF5362"/>
    <w:rsid w:val="00CF6D39"/>
    <w:rsid w:val="00D01C93"/>
    <w:rsid w:val="00D02D9C"/>
    <w:rsid w:val="00D0793E"/>
    <w:rsid w:val="00D110E5"/>
    <w:rsid w:val="00D23A72"/>
    <w:rsid w:val="00D241A0"/>
    <w:rsid w:val="00D24D93"/>
    <w:rsid w:val="00D42ABF"/>
    <w:rsid w:val="00D470FE"/>
    <w:rsid w:val="00D50794"/>
    <w:rsid w:val="00D54476"/>
    <w:rsid w:val="00D556A7"/>
    <w:rsid w:val="00D64796"/>
    <w:rsid w:val="00D7741B"/>
    <w:rsid w:val="00D779DB"/>
    <w:rsid w:val="00D77A16"/>
    <w:rsid w:val="00D82FFD"/>
    <w:rsid w:val="00D925A0"/>
    <w:rsid w:val="00D94BBD"/>
    <w:rsid w:val="00DA76CB"/>
    <w:rsid w:val="00DB0EC1"/>
    <w:rsid w:val="00DC0133"/>
    <w:rsid w:val="00DC17B1"/>
    <w:rsid w:val="00DC2603"/>
    <w:rsid w:val="00DC7380"/>
    <w:rsid w:val="00DD012B"/>
    <w:rsid w:val="00DD1FD8"/>
    <w:rsid w:val="00DD261B"/>
    <w:rsid w:val="00DD6E81"/>
    <w:rsid w:val="00DE0F75"/>
    <w:rsid w:val="00DE226F"/>
    <w:rsid w:val="00DE23F9"/>
    <w:rsid w:val="00DE63AA"/>
    <w:rsid w:val="00DF408A"/>
    <w:rsid w:val="00DF6B23"/>
    <w:rsid w:val="00E01371"/>
    <w:rsid w:val="00E02E4C"/>
    <w:rsid w:val="00E037F8"/>
    <w:rsid w:val="00E07F03"/>
    <w:rsid w:val="00E10034"/>
    <w:rsid w:val="00E11CA2"/>
    <w:rsid w:val="00E21B9C"/>
    <w:rsid w:val="00E2539B"/>
    <w:rsid w:val="00E27D22"/>
    <w:rsid w:val="00E50ECA"/>
    <w:rsid w:val="00E630CD"/>
    <w:rsid w:val="00E63AE4"/>
    <w:rsid w:val="00E72523"/>
    <w:rsid w:val="00E8099C"/>
    <w:rsid w:val="00E846C3"/>
    <w:rsid w:val="00E8554B"/>
    <w:rsid w:val="00E855B3"/>
    <w:rsid w:val="00E861E4"/>
    <w:rsid w:val="00E90027"/>
    <w:rsid w:val="00E934D6"/>
    <w:rsid w:val="00E977C6"/>
    <w:rsid w:val="00EA2406"/>
    <w:rsid w:val="00EA4336"/>
    <w:rsid w:val="00EB5CE1"/>
    <w:rsid w:val="00EC251B"/>
    <w:rsid w:val="00ED4B4A"/>
    <w:rsid w:val="00EE3F91"/>
    <w:rsid w:val="00EF06BE"/>
    <w:rsid w:val="00EF29B7"/>
    <w:rsid w:val="00F073C8"/>
    <w:rsid w:val="00F12447"/>
    <w:rsid w:val="00F144A0"/>
    <w:rsid w:val="00F15C33"/>
    <w:rsid w:val="00F1762B"/>
    <w:rsid w:val="00F23B1E"/>
    <w:rsid w:val="00F30F4B"/>
    <w:rsid w:val="00F3684D"/>
    <w:rsid w:val="00F36ED9"/>
    <w:rsid w:val="00F525E4"/>
    <w:rsid w:val="00F53E29"/>
    <w:rsid w:val="00F600EC"/>
    <w:rsid w:val="00F62905"/>
    <w:rsid w:val="00F6586A"/>
    <w:rsid w:val="00F728BA"/>
    <w:rsid w:val="00F73E37"/>
    <w:rsid w:val="00F84349"/>
    <w:rsid w:val="00F855F9"/>
    <w:rsid w:val="00F8609A"/>
    <w:rsid w:val="00F9788C"/>
    <w:rsid w:val="00FA10F0"/>
    <w:rsid w:val="00FA48F3"/>
    <w:rsid w:val="00FB622E"/>
    <w:rsid w:val="00FC1C04"/>
    <w:rsid w:val="00FD11B1"/>
    <w:rsid w:val="00FD20F2"/>
    <w:rsid w:val="00FD5213"/>
    <w:rsid w:val="00FE4E28"/>
    <w:rsid w:val="00FE611A"/>
    <w:rsid w:val="00FF2F44"/>
    <w:rsid w:val="00FF3D5A"/>
    <w:rsid w:val="04B56BB8"/>
    <w:rsid w:val="054F7921"/>
    <w:rsid w:val="0561436D"/>
    <w:rsid w:val="06A24D7F"/>
    <w:rsid w:val="076F5F08"/>
    <w:rsid w:val="08C36BBA"/>
    <w:rsid w:val="090C0E49"/>
    <w:rsid w:val="09CD5028"/>
    <w:rsid w:val="0BD900EE"/>
    <w:rsid w:val="0EEC5A9C"/>
    <w:rsid w:val="1228513B"/>
    <w:rsid w:val="12AC280A"/>
    <w:rsid w:val="14396048"/>
    <w:rsid w:val="16B05340"/>
    <w:rsid w:val="1A0755D3"/>
    <w:rsid w:val="1B65407A"/>
    <w:rsid w:val="1E1D1A34"/>
    <w:rsid w:val="1FB55779"/>
    <w:rsid w:val="20C365AA"/>
    <w:rsid w:val="21A461A0"/>
    <w:rsid w:val="236B3EFD"/>
    <w:rsid w:val="24CE6DE0"/>
    <w:rsid w:val="250F67FF"/>
    <w:rsid w:val="262027F4"/>
    <w:rsid w:val="26384D6A"/>
    <w:rsid w:val="264C1586"/>
    <w:rsid w:val="27F43A2B"/>
    <w:rsid w:val="284F3428"/>
    <w:rsid w:val="292B4709"/>
    <w:rsid w:val="2A761913"/>
    <w:rsid w:val="2BBD73D9"/>
    <w:rsid w:val="2D8E1A46"/>
    <w:rsid w:val="2E546549"/>
    <w:rsid w:val="313A7956"/>
    <w:rsid w:val="318D5DF1"/>
    <w:rsid w:val="346930B5"/>
    <w:rsid w:val="35882E67"/>
    <w:rsid w:val="36E84106"/>
    <w:rsid w:val="38836831"/>
    <w:rsid w:val="3D7F7C67"/>
    <w:rsid w:val="3E00433C"/>
    <w:rsid w:val="3E0C25B9"/>
    <w:rsid w:val="3FF56E19"/>
    <w:rsid w:val="40365928"/>
    <w:rsid w:val="40702162"/>
    <w:rsid w:val="421F7F18"/>
    <w:rsid w:val="42AA5B4D"/>
    <w:rsid w:val="42AD1FC5"/>
    <w:rsid w:val="42F92930"/>
    <w:rsid w:val="44B8767B"/>
    <w:rsid w:val="465F20DE"/>
    <w:rsid w:val="48014218"/>
    <w:rsid w:val="48C722E2"/>
    <w:rsid w:val="4AB4670A"/>
    <w:rsid w:val="4BB560A9"/>
    <w:rsid w:val="4C603508"/>
    <w:rsid w:val="4C940639"/>
    <w:rsid w:val="53A72321"/>
    <w:rsid w:val="54732D30"/>
    <w:rsid w:val="5AFD0454"/>
    <w:rsid w:val="5AFF20BA"/>
    <w:rsid w:val="5C1F187C"/>
    <w:rsid w:val="5CAC0371"/>
    <w:rsid w:val="5D1E32D2"/>
    <w:rsid w:val="5D620359"/>
    <w:rsid w:val="5E0529D6"/>
    <w:rsid w:val="5E7E7451"/>
    <w:rsid w:val="5EA308D7"/>
    <w:rsid w:val="5F447033"/>
    <w:rsid w:val="5F9A7F95"/>
    <w:rsid w:val="5FC3108A"/>
    <w:rsid w:val="608012C0"/>
    <w:rsid w:val="62390A19"/>
    <w:rsid w:val="62D76FD6"/>
    <w:rsid w:val="648C5E8C"/>
    <w:rsid w:val="650A0A3E"/>
    <w:rsid w:val="66314540"/>
    <w:rsid w:val="67EA7083"/>
    <w:rsid w:val="6B7B5F02"/>
    <w:rsid w:val="6BAC0D39"/>
    <w:rsid w:val="6CB21543"/>
    <w:rsid w:val="6CF426B0"/>
    <w:rsid w:val="6D881782"/>
    <w:rsid w:val="6D9A5831"/>
    <w:rsid w:val="6F271A08"/>
    <w:rsid w:val="71597096"/>
    <w:rsid w:val="72D23B8D"/>
    <w:rsid w:val="7336604D"/>
    <w:rsid w:val="73C74579"/>
    <w:rsid w:val="747C4548"/>
    <w:rsid w:val="74EE0547"/>
    <w:rsid w:val="750E5829"/>
    <w:rsid w:val="768222BC"/>
    <w:rsid w:val="7A830CB6"/>
    <w:rsid w:val="7AD34B82"/>
    <w:rsid w:val="7B6C6C0D"/>
    <w:rsid w:val="7F260A6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iPriority="0" w:name="Normal Indent"/>
    <w:lsdException w:qFormat="1" w:unhideWhenUsed="0" w:uiPriority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nhideWhenUsed="0" w:uiPriority="0" w:semiHidden="0" w:name="caption"/>
    <w:lsdException w:uiPriority="0" w:name="table of figures"/>
    <w:lsdException w:uiPriority="0" w:name="envelope address"/>
    <w:lsdException w:uiPriority="0" w:name="envelope return"/>
    <w:lsdException w:qFormat="1" w:unhideWhenUsed="0" w:uiPriority="0" w:name="footnote reference"/>
    <w:lsdException w:qFormat="1" w:unhideWhenUsed="0" w:uiPriority="0" w:name="annotation reference"/>
    <w:lsdException w:uiPriority="0" w:name="line number"/>
    <w:lsdException w:qFormat="1" w:unhideWhenUsed="0" w:uiPriority="0" w:semiHidden="0" w:name="page number"/>
    <w:lsdException w:qFormat="1" w:unhideWhenUsed="0" w:uiPriority="0" w:name="endnote reference"/>
    <w:lsdException w:qFormat="1" w:unhideWhenUsed="0"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uiPriority="0" w:name="Date"/>
    <w:lsdException w:qFormat="1"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qFormat="1" w:uiPriority="99" w:semiHidden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qFormat="1" w:unhideWhenUsed="0" w:uiPriority="0" w:semiHidden="0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qFormat="1" w:uiPriority="99" w:semiHidden="0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qFormat="1"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pageBreakBefore w:val="0"/>
      <w:numPr>
        <w:ilvl w:val="0"/>
        <w:numId w:val="1"/>
      </w:numPr>
      <w:spacing w:before="120" w:after="40"/>
      <w:ind w:left="0" w:firstLine="0"/>
      <w:jc w:val="left"/>
    </w:pPr>
  </w:style>
  <w:style w:type="paragraph" w:styleId="3">
    <w:name w:val="heading 2"/>
    <w:basedOn w:val="1"/>
    <w:next w:val="4"/>
    <w:link w:val="54"/>
    <w:qFormat/>
    <w:uiPriority w:val="0"/>
    <w:pPr>
      <w:keepNext/>
      <w:keepLines/>
      <w:numPr>
        <w:ilvl w:val="1"/>
        <w:numId w:val="1"/>
      </w:numPr>
      <w:spacing w:before="20" w:after="20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paragraph" w:styleId="6">
    <w:name w:val="heading 4"/>
    <w:basedOn w:val="1"/>
    <w:next w:val="4"/>
    <w:qFormat/>
    <w:uiPriority w:val="0"/>
    <w:pPr>
      <w:numPr>
        <w:ilvl w:val="3"/>
        <w:numId w:val="1"/>
      </w:numPr>
      <w:outlineLvl w:val="3"/>
    </w:pPr>
    <w:rPr>
      <w:rFonts w:eastAsia="黑体"/>
    </w:rPr>
  </w:style>
  <w:style w:type="paragraph" w:styleId="7">
    <w:name w:val="heading 5"/>
    <w:basedOn w:val="1"/>
    <w:next w:val="1"/>
    <w:link w:val="80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8">
    <w:name w:val="heading 6"/>
    <w:basedOn w:val="1"/>
    <w:next w:val="1"/>
    <w:link w:val="68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Cs w:val="24"/>
    </w:rPr>
  </w:style>
  <w:style w:type="paragraph" w:styleId="9">
    <w:name w:val="heading 7"/>
    <w:basedOn w:val="1"/>
    <w:next w:val="1"/>
    <w:link w:val="62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10">
    <w:name w:val="heading 8"/>
    <w:basedOn w:val="1"/>
    <w:next w:val="1"/>
    <w:link w:val="56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hAnsi="Arial" w:eastAsia="黑体"/>
      <w:kern w:val="0"/>
      <w:szCs w:val="24"/>
    </w:rPr>
  </w:style>
  <w:style w:type="paragraph" w:styleId="11">
    <w:name w:val="heading 9"/>
    <w:basedOn w:val="1"/>
    <w:next w:val="1"/>
    <w:link w:val="7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hAnsi="Arial" w:eastAsia="黑体"/>
      <w:kern w:val="0"/>
      <w:szCs w:val="21"/>
    </w:rPr>
  </w:style>
  <w:style w:type="character" w:default="1" w:styleId="43">
    <w:name w:val="Default Paragraph Font"/>
    <w:unhideWhenUsed/>
    <w:qFormat/>
    <w:uiPriority w:val="1"/>
  </w:style>
  <w:style w:type="table" w:default="1" w:styleId="3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link w:val="59"/>
    <w:qFormat/>
    <w:uiPriority w:val="0"/>
    <w:pPr>
      <w:ind w:firstLine="498" w:firstLineChars="200"/>
    </w:pPr>
  </w:style>
  <w:style w:type="paragraph" w:styleId="12">
    <w:name w:val="toc 7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520" w:leftChars="1200" w:firstLine="200" w:firstLineChars="200"/>
      <w:textAlignment w:val="baseline"/>
    </w:pPr>
    <w:rPr>
      <w:kern w:val="0"/>
    </w:rPr>
  </w:style>
  <w:style w:type="paragraph" w:styleId="13">
    <w:name w:val="caption"/>
    <w:basedOn w:val="1"/>
    <w:next w:val="4"/>
    <w:qFormat/>
    <w:uiPriority w:val="0"/>
    <w:pPr>
      <w:spacing w:before="152" w:after="160"/>
      <w:jc w:val="center"/>
    </w:pPr>
    <w:rPr>
      <w:rFonts w:cs="Arial"/>
      <w:sz w:val="21"/>
      <w:szCs w:val="21"/>
    </w:rPr>
  </w:style>
  <w:style w:type="paragraph" w:styleId="14">
    <w:name w:val="Document Map"/>
    <w:basedOn w:val="1"/>
    <w:semiHidden/>
    <w:qFormat/>
    <w:uiPriority w:val="0"/>
    <w:pPr>
      <w:shd w:val="clear" w:color="auto" w:fill="000080"/>
    </w:pPr>
  </w:style>
  <w:style w:type="paragraph" w:styleId="15">
    <w:name w:val="annotation text"/>
    <w:basedOn w:val="1"/>
    <w:semiHidden/>
    <w:qFormat/>
    <w:uiPriority w:val="0"/>
    <w:pPr>
      <w:jc w:val="left"/>
    </w:pPr>
  </w:style>
  <w:style w:type="paragraph" w:styleId="16">
    <w:name w:val="Body Text"/>
    <w:basedOn w:val="1"/>
    <w:link w:val="77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17">
    <w:name w:val="Body Text Indent"/>
    <w:basedOn w:val="1"/>
    <w:link w:val="67"/>
    <w:qFormat/>
    <w:uiPriority w:val="0"/>
    <w:pPr>
      <w:spacing w:after="120"/>
      <w:ind w:left="420" w:leftChars="200"/>
    </w:pPr>
  </w:style>
  <w:style w:type="paragraph" w:styleId="18">
    <w:name w:val="toc 5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680" w:leftChars="800" w:firstLine="200" w:firstLineChars="200"/>
      <w:textAlignment w:val="baseline"/>
    </w:pPr>
    <w:rPr>
      <w:kern w:val="0"/>
    </w:rPr>
  </w:style>
  <w:style w:type="paragraph" w:styleId="19">
    <w:name w:val="toc 3"/>
    <w:basedOn w:val="1"/>
    <w:next w:val="1"/>
    <w:qFormat/>
    <w:uiPriority w:val="39"/>
    <w:pPr>
      <w:tabs>
        <w:tab w:val="right" w:leader="dot" w:pos="7968"/>
      </w:tabs>
      <w:ind w:left="498" w:leftChars="200"/>
    </w:pPr>
  </w:style>
  <w:style w:type="paragraph" w:styleId="20">
    <w:name w:val="Plain Text"/>
    <w:basedOn w:val="1"/>
    <w:link w:val="52"/>
    <w:qFormat/>
    <w:uiPriority w:val="0"/>
    <w:rPr>
      <w:rFonts w:ascii="宋体" w:hAnsi="Courier New"/>
      <w:sz w:val="21"/>
    </w:rPr>
  </w:style>
  <w:style w:type="paragraph" w:styleId="21">
    <w:name w:val="toc 8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940" w:leftChars="1400" w:firstLine="200" w:firstLineChars="200"/>
      <w:textAlignment w:val="baseline"/>
    </w:pPr>
    <w:rPr>
      <w:kern w:val="0"/>
    </w:rPr>
  </w:style>
  <w:style w:type="paragraph" w:styleId="22">
    <w:name w:val="endnote text"/>
    <w:basedOn w:val="1"/>
    <w:semiHidden/>
    <w:qFormat/>
    <w:uiPriority w:val="0"/>
    <w:pPr>
      <w:tabs>
        <w:tab w:val="left" w:pos="498"/>
      </w:tabs>
      <w:ind w:left="200" w:hanging="200" w:hangingChars="200"/>
    </w:pPr>
  </w:style>
  <w:style w:type="paragraph" w:styleId="23">
    <w:name w:val="Balloon Text"/>
    <w:basedOn w:val="1"/>
    <w:semiHidden/>
    <w:qFormat/>
    <w:uiPriority w:val="0"/>
    <w:rPr>
      <w:sz w:val="18"/>
      <w:szCs w:val="18"/>
    </w:rPr>
  </w:style>
  <w:style w:type="paragraph" w:styleId="24">
    <w:name w:val="footer"/>
    <w:basedOn w:val="1"/>
    <w:link w:val="7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5">
    <w:name w:val="header"/>
    <w:basedOn w:val="1"/>
    <w:link w:val="8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6">
    <w:name w:val="toc 1"/>
    <w:basedOn w:val="1"/>
    <w:next w:val="1"/>
    <w:qFormat/>
    <w:uiPriority w:val="39"/>
    <w:pPr>
      <w:tabs>
        <w:tab w:val="right" w:leader="dot" w:pos="7968"/>
      </w:tabs>
    </w:pPr>
    <w:rPr>
      <w:rFonts w:eastAsia="黑体"/>
    </w:rPr>
  </w:style>
  <w:style w:type="paragraph" w:styleId="27">
    <w:name w:val="toc 4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260" w:leftChars="600" w:firstLine="200" w:firstLineChars="200"/>
      <w:textAlignment w:val="baseline"/>
    </w:pPr>
    <w:rPr>
      <w:kern w:val="0"/>
    </w:rPr>
  </w:style>
  <w:style w:type="paragraph" w:styleId="28">
    <w:name w:val="Subtitle"/>
    <w:basedOn w:val="1"/>
    <w:next w:val="1"/>
    <w:link w:val="58"/>
    <w:qFormat/>
    <w:uiPriority w:val="0"/>
    <w:pPr>
      <w:widowControl/>
      <w:overflowPunct w:val="0"/>
      <w:autoSpaceDE w:val="0"/>
      <w:autoSpaceDN w:val="0"/>
      <w:adjustRightInd w:val="0"/>
      <w:spacing w:before="240" w:after="60" w:line="312" w:lineRule="auto"/>
      <w:ind w:firstLine="200" w:firstLineChars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29">
    <w:name w:val="footnote text"/>
    <w:basedOn w:val="1"/>
    <w:semiHidden/>
    <w:qFormat/>
    <w:uiPriority w:val="0"/>
    <w:pPr>
      <w:snapToGrid w:val="0"/>
      <w:jc w:val="left"/>
    </w:pPr>
  </w:style>
  <w:style w:type="paragraph" w:styleId="30">
    <w:name w:val="toc 6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100" w:leftChars="1000" w:firstLine="200" w:firstLineChars="200"/>
      <w:textAlignment w:val="baseline"/>
    </w:pPr>
    <w:rPr>
      <w:kern w:val="0"/>
    </w:rPr>
  </w:style>
  <w:style w:type="paragraph" w:styleId="31">
    <w:name w:val="toc 2"/>
    <w:basedOn w:val="1"/>
    <w:next w:val="1"/>
    <w:qFormat/>
    <w:uiPriority w:val="39"/>
    <w:pPr>
      <w:tabs>
        <w:tab w:val="right" w:leader="dot" w:pos="7968"/>
      </w:tabs>
      <w:ind w:left="249" w:leftChars="100"/>
    </w:pPr>
  </w:style>
  <w:style w:type="paragraph" w:styleId="32">
    <w:name w:val="toc 9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3360" w:leftChars="1600" w:firstLine="200" w:firstLineChars="200"/>
      <w:textAlignment w:val="baseline"/>
    </w:pPr>
    <w:rPr>
      <w:kern w:val="0"/>
    </w:rPr>
  </w:style>
  <w:style w:type="paragraph" w:styleId="33">
    <w:name w:val="HTML Preformatted"/>
    <w:basedOn w:val="1"/>
    <w:link w:val="7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4">
    <w:name w:val="Normal (Web)"/>
    <w:basedOn w:val="1"/>
    <w:unhideWhenUsed/>
    <w:qFormat/>
    <w:uiPriority w:val="99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5">
    <w:name w:val="Title"/>
    <w:next w:val="4"/>
    <w:qFormat/>
    <w:uiPriority w:val="0"/>
    <w:pPr>
      <w:keepLines/>
      <w:pageBreakBefore/>
      <w:widowControl w:val="0"/>
      <w:spacing w:before="240" w:after="120"/>
      <w:jc w:val="center"/>
      <w:outlineLvl w:val="0"/>
    </w:pPr>
    <w:rPr>
      <w:rFonts w:ascii="Times New Roman" w:hAnsi="Times New Roman" w:eastAsia="黑体" w:cs="Times New Roman"/>
      <w:kern w:val="2"/>
      <w:sz w:val="36"/>
      <w:lang w:val="en-US" w:eastAsia="zh-CN" w:bidi="ar-SA"/>
    </w:rPr>
  </w:style>
  <w:style w:type="paragraph" w:styleId="36">
    <w:name w:val="annotation subject"/>
    <w:basedOn w:val="15"/>
    <w:next w:val="15"/>
    <w:semiHidden/>
    <w:qFormat/>
    <w:uiPriority w:val="0"/>
    <w:rPr>
      <w:b/>
      <w:bCs/>
    </w:rPr>
  </w:style>
  <w:style w:type="table" w:styleId="38">
    <w:name w:val="Table Grid"/>
    <w:basedOn w:val="37"/>
    <w:unhideWhenUsed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39">
    <w:name w:val="Table Classic 1"/>
    <w:basedOn w:val="37"/>
    <w:qFormat/>
    <w:uiPriority w:val="0"/>
    <w:pPr>
      <w:widowControl w:val="0"/>
      <w:jc w:val="both"/>
    </w:pPr>
    <w:rPr>
      <w:rFonts w:ascii="Calibri" w:hAnsi="Calibri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0">
    <w:name w:val="Table Grid 2"/>
    <w:basedOn w:val="37"/>
    <w:unhideWhenUsed/>
    <w:qFormat/>
    <w:uiPriority w:val="99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1">
    <w:name w:val="Medium Shading 1 Accent 5"/>
    <w:basedOn w:val="37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2">
    <w:name w:val="Medium Grid 3 Accent 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BFDE"/>
      </w:tcPr>
    </w:tblStylePr>
  </w:style>
  <w:style w:type="character" w:styleId="44">
    <w:name w:val="Strong"/>
    <w:qFormat/>
    <w:uiPriority w:val="22"/>
    <w:rPr>
      <w:b/>
      <w:bCs/>
    </w:rPr>
  </w:style>
  <w:style w:type="character" w:styleId="45">
    <w:name w:val="endnote reference"/>
    <w:semiHidden/>
    <w:qFormat/>
    <w:uiPriority w:val="0"/>
    <w:rPr>
      <w:rFonts w:ascii="Times New Roman" w:hAnsi="Times New Roman" w:eastAsia="宋体"/>
      <w:sz w:val="24"/>
      <w:szCs w:val="18"/>
      <w:vertAlign w:val="baseline"/>
    </w:rPr>
  </w:style>
  <w:style w:type="character" w:styleId="46">
    <w:name w:val="page number"/>
    <w:basedOn w:val="43"/>
    <w:qFormat/>
    <w:uiPriority w:val="0"/>
  </w:style>
  <w:style w:type="character" w:styleId="47">
    <w:name w:val="FollowedHyperlink"/>
    <w:qFormat/>
    <w:uiPriority w:val="0"/>
    <w:rPr>
      <w:color w:val="800080"/>
      <w:u w:val="single"/>
    </w:rPr>
  </w:style>
  <w:style w:type="character" w:styleId="48">
    <w:name w:val="Hyperlink"/>
    <w:qFormat/>
    <w:uiPriority w:val="99"/>
    <w:rPr>
      <w:color w:val="0000FF"/>
      <w:u w:val="single"/>
    </w:rPr>
  </w:style>
  <w:style w:type="character" w:styleId="49">
    <w:name w:val="annotation reference"/>
    <w:semiHidden/>
    <w:qFormat/>
    <w:uiPriority w:val="0"/>
    <w:rPr>
      <w:sz w:val="21"/>
      <w:szCs w:val="21"/>
    </w:rPr>
  </w:style>
  <w:style w:type="character" w:styleId="50">
    <w:name w:val="footnote reference"/>
    <w:semiHidden/>
    <w:qFormat/>
    <w:uiPriority w:val="0"/>
    <w:rPr>
      <w:rFonts w:ascii="Times New Roman" w:hAnsi="Times New Roman" w:eastAsia="宋体"/>
      <w:sz w:val="18"/>
      <w:vertAlign w:val="superscript"/>
    </w:rPr>
  </w:style>
  <w:style w:type="paragraph" w:customStyle="1" w:styleId="51">
    <w:name w:val="正文文本首行缩进"/>
    <w:basedOn w:val="1"/>
    <w:qFormat/>
    <w:uiPriority w:val="0"/>
    <w:pPr>
      <w:ind w:firstLine="498" w:firstLineChars="200"/>
    </w:pPr>
  </w:style>
  <w:style w:type="character" w:customStyle="1" w:styleId="52">
    <w:name w:val="纯文本 字符"/>
    <w:basedOn w:val="43"/>
    <w:link w:val="20"/>
    <w:qFormat/>
    <w:uiPriority w:val="0"/>
    <w:rPr>
      <w:rFonts w:ascii="宋体" w:hAnsi="Courier New"/>
      <w:kern w:val="2"/>
      <w:sz w:val="21"/>
    </w:rPr>
  </w:style>
  <w:style w:type="character" w:customStyle="1" w:styleId="53">
    <w:name w:val="附表二级标题 Char"/>
    <w:basedOn w:val="54"/>
    <w:link w:val="55"/>
    <w:qFormat/>
    <w:uiPriority w:val="0"/>
    <w:rPr>
      <w:rFonts w:ascii="宋体" w:hAnsi="宋体" w:eastAsia="黑体" w:cs="宋体"/>
      <w:bCs/>
      <w:kern w:val="2"/>
      <w:sz w:val="21"/>
      <w:szCs w:val="32"/>
    </w:rPr>
  </w:style>
  <w:style w:type="character" w:customStyle="1" w:styleId="54">
    <w:name w:val="标题 2 字符"/>
    <w:basedOn w:val="43"/>
    <w:link w:val="3"/>
    <w:qFormat/>
    <w:uiPriority w:val="0"/>
    <w:rPr>
      <w:rFonts w:eastAsia="黑体"/>
      <w:kern w:val="2"/>
      <w:sz w:val="30"/>
    </w:rPr>
  </w:style>
  <w:style w:type="paragraph" w:customStyle="1" w:styleId="55">
    <w:name w:val="附表二级标题"/>
    <w:basedOn w:val="3"/>
    <w:link w:val="53"/>
    <w:qFormat/>
    <w:uiPriority w:val="0"/>
    <w:pPr>
      <w:numPr>
        <w:ilvl w:val="0"/>
        <w:numId w:val="0"/>
      </w:numPr>
      <w:spacing w:beforeLines="50" w:afterLines="50" w:line="440" w:lineRule="exact"/>
    </w:pPr>
    <w:rPr>
      <w:rFonts w:ascii="宋体" w:hAnsi="宋体" w:eastAsia="宋体" w:cs="宋体"/>
      <w:bCs/>
      <w:sz w:val="21"/>
      <w:szCs w:val="32"/>
    </w:rPr>
  </w:style>
  <w:style w:type="character" w:customStyle="1" w:styleId="56">
    <w:name w:val="标题 8 字符"/>
    <w:basedOn w:val="43"/>
    <w:link w:val="10"/>
    <w:qFormat/>
    <w:uiPriority w:val="0"/>
    <w:rPr>
      <w:rFonts w:ascii="Arial" w:hAnsi="Arial" w:eastAsia="黑体"/>
      <w:sz w:val="24"/>
      <w:szCs w:val="24"/>
      <w:lang w:val="en-US" w:eastAsia="zh-CN"/>
    </w:rPr>
  </w:style>
  <w:style w:type="character" w:customStyle="1" w:styleId="57">
    <w:name w:val="标题 41"/>
    <w:qFormat/>
    <w:uiPriority w:val="0"/>
    <w:rPr>
      <w:rFonts w:eastAsia="黑体"/>
      <w:b/>
      <w:kern w:val="2"/>
      <w:sz w:val="24"/>
      <w:lang w:val="en-US" w:eastAsia="zh-CN" w:bidi="ar-SA"/>
    </w:rPr>
  </w:style>
  <w:style w:type="character" w:customStyle="1" w:styleId="58">
    <w:name w:val="副标题 字符"/>
    <w:basedOn w:val="43"/>
    <w:link w:val="28"/>
    <w:qFormat/>
    <w:uiPriority w:val="0"/>
    <w:rPr>
      <w:rFonts w:ascii="Cambria" w:hAnsi="Cambria" w:cs="Times New Roman"/>
      <w:b/>
      <w:bCs/>
      <w:kern w:val="28"/>
      <w:sz w:val="32"/>
      <w:szCs w:val="32"/>
      <w:lang w:val="en-US" w:eastAsia="zh-CN"/>
    </w:rPr>
  </w:style>
  <w:style w:type="character" w:customStyle="1" w:styleId="59">
    <w:name w:val="正文首行缩进 字符"/>
    <w:link w:val="4"/>
    <w:qFormat/>
    <w:uiPriority w:val="0"/>
    <w:rPr>
      <w:kern w:val="2"/>
      <w:sz w:val="24"/>
    </w:rPr>
  </w:style>
  <w:style w:type="character" w:customStyle="1" w:styleId="60">
    <w:name w:val="hps"/>
    <w:qFormat/>
    <w:uiPriority w:val="0"/>
  </w:style>
  <w:style w:type="character" w:customStyle="1" w:styleId="61">
    <w:name w:val="正文文字 3 Char"/>
    <w:qFormat/>
    <w:uiPriority w:val="0"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62">
    <w:name w:val="标题 7 字符"/>
    <w:basedOn w:val="43"/>
    <w:link w:val="9"/>
    <w:qFormat/>
    <w:uiPriority w:val="0"/>
    <w:rPr>
      <w:b/>
      <w:bCs/>
      <w:sz w:val="24"/>
      <w:szCs w:val="24"/>
      <w:lang w:val="en-US" w:eastAsia="zh-CN"/>
    </w:rPr>
  </w:style>
  <w:style w:type="character" w:customStyle="1" w:styleId="63">
    <w:name w:val="high-light-bg"/>
    <w:basedOn w:val="43"/>
    <w:qFormat/>
    <w:uiPriority w:val="0"/>
  </w:style>
  <w:style w:type="character" w:customStyle="1" w:styleId="64">
    <w:name w:val="apple-converted-space"/>
    <w:basedOn w:val="43"/>
    <w:qFormat/>
    <w:uiPriority w:val="0"/>
  </w:style>
  <w:style w:type="character" w:customStyle="1" w:styleId="65">
    <w:name w:val="hit"/>
    <w:basedOn w:val="43"/>
    <w:qFormat/>
    <w:uiPriority w:val="0"/>
  </w:style>
  <w:style w:type="character" w:customStyle="1" w:styleId="66">
    <w:name w:val="it"/>
    <w:basedOn w:val="43"/>
    <w:qFormat/>
    <w:uiPriority w:val="0"/>
  </w:style>
  <w:style w:type="character" w:customStyle="1" w:styleId="67">
    <w:name w:val="正文文本缩进 字符"/>
    <w:link w:val="17"/>
    <w:qFormat/>
    <w:uiPriority w:val="0"/>
    <w:rPr>
      <w:kern w:val="2"/>
      <w:sz w:val="24"/>
    </w:rPr>
  </w:style>
  <w:style w:type="character" w:customStyle="1" w:styleId="68">
    <w:name w:val="标题 6 字符"/>
    <w:basedOn w:val="43"/>
    <w:link w:val="8"/>
    <w:qFormat/>
    <w:uiPriority w:val="0"/>
    <w:rPr>
      <w:rFonts w:ascii="Arial" w:hAnsi="Arial" w:eastAsia="黑体"/>
      <w:b/>
      <w:bCs/>
      <w:sz w:val="24"/>
      <w:szCs w:val="24"/>
      <w:lang w:val="en-US" w:eastAsia="zh-CN"/>
    </w:rPr>
  </w:style>
  <w:style w:type="character" w:customStyle="1" w:styleId="69">
    <w:name w:val="txt"/>
    <w:basedOn w:val="43"/>
    <w:qFormat/>
    <w:uiPriority w:val="0"/>
  </w:style>
  <w:style w:type="character" w:customStyle="1" w:styleId="70">
    <w:name w:val="short_text"/>
    <w:qFormat/>
    <w:uiPriority w:val="0"/>
  </w:style>
  <w:style w:type="character" w:customStyle="1" w:styleId="71">
    <w:name w:val="样式 尾注引用"/>
    <w:qFormat/>
    <w:uiPriority w:val="0"/>
    <w:rPr>
      <w:rFonts w:ascii="Times New Roman" w:hAnsi="Times New Roman" w:eastAsia="宋体"/>
      <w:sz w:val="24"/>
      <w:szCs w:val="28"/>
      <w:vertAlign w:val="superscript"/>
    </w:rPr>
  </w:style>
  <w:style w:type="character" w:customStyle="1" w:styleId="72">
    <w:name w:val="videolength"/>
    <w:basedOn w:val="43"/>
    <w:qFormat/>
    <w:uiPriority w:val="0"/>
  </w:style>
  <w:style w:type="character" w:customStyle="1" w:styleId="73">
    <w:name w:val="15"/>
    <w:qFormat/>
    <w:uiPriority w:val="0"/>
    <w:rPr>
      <w:rFonts w:hint="default" w:ascii="Times New Roman" w:hAnsi="Times New Roman" w:cs="Times New Roman"/>
      <w:sz w:val="21"/>
      <w:szCs w:val="21"/>
    </w:rPr>
  </w:style>
  <w:style w:type="character" w:customStyle="1" w:styleId="74">
    <w:name w:val="HTML 预设格式 字符"/>
    <w:basedOn w:val="43"/>
    <w:link w:val="33"/>
    <w:qFormat/>
    <w:uiPriority w:val="99"/>
    <w:rPr>
      <w:rFonts w:ascii="宋体" w:hAnsi="宋体" w:cs="宋体"/>
      <w:sz w:val="24"/>
      <w:szCs w:val="24"/>
    </w:rPr>
  </w:style>
  <w:style w:type="character" w:customStyle="1" w:styleId="75">
    <w:name w:val="封面内容"/>
    <w:basedOn w:val="43"/>
    <w:qFormat/>
    <w:uiPriority w:val="0"/>
    <w:rPr>
      <w:sz w:val="28"/>
    </w:rPr>
  </w:style>
  <w:style w:type="character" w:customStyle="1" w:styleId="76">
    <w:name w:val="页脚 字符"/>
    <w:link w:val="24"/>
    <w:qFormat/>
    <w:uiPriority w:val="99"/>
    <w:rPr>
      <w:rFonts w:eastAsia="宋体"/>
      <w:kern w:val="2"/>
      <w:sz w:val="18"/>
      <w:lang w:val="en-US" w:eastAsia="zh-CN" w:bidi="ar-SA"/>
    </w:rPr>
  </w:style>
  <w:style w:type="character" w:customStyle="1" w:styleId="77">
    <w:name w:val="正文文本 字符"/>
    <w:basedOn w:val="43"/>
    <w:link w:val="16"/>
    <w:qFormat/>
    <w:uiPriority w:val="0"/>
    <w:rPr>
      <w:sz w:val="24"/>
      <w:lang w:val="en-US" w:eastAsia="zh-CN"/>
    </w:rPr>
  </w:style>
  <w:style w:type="character" w:customStyle="1" w:styleId="78">
    <w:name w:val="摘要题目"/>
    <w:basedOn w:val="43"/>
    <w:qFormat/>
    <w:uiPriority w:val="0"/>
    <w:rPr>
      <w:rFonts w:ascii="Times New Roman" w:hAnsi="Times New Roman" w:eastAsia="楷体_GB2312"/>
      <w:sz w:val="52"/>
      <w:szCs w:val="52"/>
    </w:rPr>
  </w:style>
  <w:style w:type="character" w:customStyle="1" w:styleId="79">
    <w:name w:val="标题 9 字符"/>
    <w:basedOn w:val="43"/>
    <w:link w:val="11"/>
    <w:qFormat/>
    <w:uiPriority w:val="0"/>
    <w:rPr>
      <w:rFonts w:ascii="Arial" w:hAnsi="Arial" w:eastAsia="黑体"/>
      <w:sz w:val="24"/>
      <w:szCs w:val="21"/>
      <w:lang w:val="en-US" w:eastAsia="zh-CN"/>
    </w:rPr>
  </w:style>
  <w:style w:type="character" w:customStyle="1" w:styleId="80">
    <w:name w:val="标题 5 字符"/>
    <w:basedOn w:val="43"/>
    <w:link w:val="7"/>
    <w:qFormat/>
    <w:uiPriority w:val="0"/>
    <w:rPr>
      <w:b/>
      <w:bCs/>
      <w:sz w:val="28"/>
      <w:szCs w:val="28"/>
      <w:lang w:val="en-US" w:eastAsia="zh-CN"/>
    </w:rPr>
  </w:style>
  <w:style w:type="character" w:customStyle="1" w:styleId="81">
    <w:name w:val="提示 Char"/>
    <w:link w:val="82"/>
    <w:qFormat/>
    <w:uiPriority w:val="0"/>
    <w:rPr>
      <w:rFonts w:ascii="Arial" w:hAnsi="Arial" w:eastAsia="宋体"/>
      <w:bCs/>
      <w:sz w:val="18"/>
      <w:szCs w:val="18"/>
      <w:lang w:val="en-US" w:eastAsia="zh-CN" w:bidi="ar-SA"/>
    </w:rPr>
  </w:style>
  <w:style w:type="paragraph" w:customStyle="1" w:styleId="82">
    <w:name w:val="提示"/>
    <w:basedOn w:val="1"/>
    <w:link w:val="81"/>
    <w:qFormat/>
    <w:uiPriority w:val="0"/>
    <w:pPr>
      <w:pBdr>
        <w:top w:val="dotted" w:color="auto" w:sz="4" w:space="1"/>
        <w:left w:val="dotted" w:color="auto" w:sz="4" w:space="4"/>
        <w:bottom w:val="dotted" w:color="auto" w:sz="4" w:space="1"/>
        <w:right w:val="dotted" w:color="auto" w:sz="4" w:space="4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character" w:customStyle="1" w:styleId="83">
    <w:name w:val="bf"/>
    <w:basedOn w:val="43"/>
    <w:qFormat/>
    <w:uiPriority w:val="0"/>
  </w:style>
  <w:style w:type="character" w:customStyle="1" w:styleId="84">
    <w:name w:val="页眉 字符"/>
    <w:link w:val="25"/>
    <w:qFormat/>
    <w:uiPriority w:val="0"/>
    <w:rPr>
      <w:rFonts w:eastAsia="宋体"/>
      <w:kern w:val="2"/>
      <w:sz w:val="18"/>
      <w:lang w:val="en-US" w:eastAsia="zh-CN" w:bidi="ar-SA"/>
    </w:rPr>
  </w:style>
  <w:style w:type="paragraph" w:customStyle="1" w:styleId="85">
    <w:name w:val="±í¸ñÎÄ±¾"/>
    <w:basedOn w:val="1"/>
    <w:qFormat/>
    <w:uiPriority w:val="0"/>
    <w:pPr>
      <w:widowControl/>
      <w:tabs>
        <w:tab w:val="decimal" w:pos="0"/>
      </w:tabs>
      <w:overflowPunct w:val="0"/>
      <w:autoSpaceDE w:val="0"/>
      <w:autoSpaceDN w:val="0"/>
      <w:adjustRightInd w:val="0"/>
      <w:ind w:firstLine="200" w:firstLineChars="200"/>
      <w:textAlignment w:val="baseline"/>
    </w:pPr>
    <w:rPr>
      <w:kern w:val="0"/>
    </w:rPr>
  </w:style>
  <w:style w:type="paragraph" w:customStyle="1" w:styleId="86">
    <w:name w:val="·ÖÏîÄ¿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87">
    <w:name w:val="ÎÄµµ±êÌâ"/>
    <w:basedOn w:val="1"/>
    <w:qFormat/>
    <w:uiPriority w:val="0"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="200" w:firstLineChars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8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89">
    <w:name w:val="È±Ê¡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90">
    <w:name w:val="论文题目"/>
    <w:basedOn w:val="1"/>
    <w:qFormat/>
    <w:uiPriority w:val="0"/>
    <w:pPr>
      <w:ind w:firstLine="200" w:firstLineChars="200"/>
      <w:jc w:val="center"/>
    </w:pPr>
    <w:rPr>
      <w:rFonts w:ascii="黑体" w:hAnsi="宋体" w:eastAsia="黑体" w:cs="宋体"/>
      <w:sz w:val="44"/>
    </w:rPr>
  </w:style>
  <w:style w:type="paragraph" w:customStyle="1" w:styleId="91">
    <w:name w:val="源代码"/>
    <w:basedOn w:val="1"/>
    <w:qFormat/>
    <w:uiPriority w:val="0"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92">
    <w:name w:val="TOC 标题1"/>
    <w:basedOn w:val="2"/>
    <w:next w:val="1"/>
    <w:qFormat/>
    <w:uiPriority w:val="39"/>
    <w:pPr>
      <w:keepNext/>
      <w:widowControl/>
      <w:numPr>
        <w:numId w:val="0"/>
      </w:numPr>
      <w:spacing w:before="480" w:after="0" w:line="276" w:lineRule="auto"/>
      <w:outlineLvl w:val="9"/>
    </w:pPr>
    <w:rPr>
      <w:rFonts w:ascii="Cambria" w:hAnsi="Cambria" w:eastAsia="宋体"/>
      <w:bCs/>
      <w:color w:val="365F91"/>
      <w:kern w:val="0"/>
      <w:sz w:val="28"/>
      <w:szCs w:val="28"/>
    </w:rPr>
  </w:style>
  <w:style w:type="paragraph" w:customStyle="1" w:styleId="93">
    <w:name w:val="p15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94">
    <w:name w:val="¶ÎÂä1"/>
    <w:basedOn w:val="1"/>
    <w:qFormat/>
    <w:uiPriority w:val="0"/>
    <w:pPr>
      <w:widowControl/>
      <w:overflowPunct w:val="0"/>
      <w:autoSpaceDE w:val="0"/>
      <w:autoSpaceDN w:val="0"/>
      <w:adjustRightInd w:val="0"/>
      <w:spacing w:before="105"/>
      <w:ind w:firstLine="200" w:firstLineChars="200"/>
      <w:textAlignment w:val="baseline"/>
    </w:pPr>
    <w:rPr>
      <w:rFonts w:ascii="宋体"/>
      <w:kern w:val="0"/>
    </w:rPr>
  </w:style>
  <w:style w:type="paragraph" w:customStyle="1" w:styleId="95">
    <w:name w:val="灯泡注释(打印无效)"/>
    <w:basedOn w:val="4"/>
    <w:qFormat/>
    <w:uiPriority w:val="0"/>
    <w:pPr>
      <w:snapToGrid w:val="0"/>
      <w:ind w:firstLine="0" w:firstLineChars="0"/>
    </w:pPr>
    <w:rPr>
      <w:i/>
      <w:vanish/>
      <w:color w:val="FF0000"/>
      <w:sz w:val="21"/>
      <w:szCs w:val="21"/>
    </w:rPr>
  </w:style>
  <w:style w:type="paragraph" w:customStyle="1" w:styleId="96">
    <w:name w:val="·âÃæÎÄµµ±êÌâ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97">
    <w:name w:val="图题"/>
    <w:basedOn w:val="1"/>
    <w:qFormat/>
    <w:uiPriority w:val="0"/>
    <w:pPr>
      <w:adjustRightInd w:val="0"/>
      <w:spacing w:before="40" w:after="80"/>
      <w:jc w:val="center"/>
      <w:textAlignment w:val="baseline"/>
    </w:pPr>
    <w:rPr>
      <w:rFonts w:ascii="Arial" w:hAnsi="Arial" w:eastAsia="黑体" w:cs="宋体"/>
      <w:kern w:val="21"/>
      <w:sz w:val="18"/>
      <w:szCs w:val="18"/>
    </w:rPr>
  </w:style>
  <w:style w:type="paragraph" w:customStyle="1" w:styleId="98">
    <w:name w:val="批注主题1"/>
    <w:basedOn w:val="15"/>
    <w:next w:val="15"/>
    <w:semiHidden/>
    <w:qFormat/>
    <w:uiPriority w:val="0"/>
    <w:rPr>
      <w:b/>
      <w:bCs/>
    </w:rPr>
  </w:style>
  <w:style w:type="paragraph" w:customStyle="1" w:styleId="99">
    <w:name w:val="ÕýÎÄÊ×ÐÐËõ½ø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425" w:firstLineChars="200"/>
      <w:textAlignment w:val="baseline"/>
    </w:pPr>
    <w:rPr>
      <w:kern w:val="0"/>
    </w:rPr>
  </w:style>
  <w:style w:type="paragraph" w:customStyle="1" w:styleId="100">
    <w:name w:val="¹Ø¼ü´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101">
    <w:name w:val="Char Char1 Char Char Char Char Char Char Char Char Char Char Char Char Char Char Char"/>
    <w:basedOn w:val="1"/>
    <w:qFormat/>
    <w:uiPriority w:val="0"/>
    <w:pPr>
      <w:widowControl/>
      <w:spacing w:after="160" w:line="240" w:lineRule="exact"/>
      <w:ind w:firstLine="200" w:firstLineChars="200"/>
      <w:jc w:val="left"/>
    </w:pPr>
    <w:rPr>
      <w:rFonts w:ascii="Verdana" w:hAnsi="Verdana" w:cs="Verdana"/>
      <w:kern w:val="0"/>
      <w:sz w:val="20"/>
      <w:lang w:eastAsia="en-US"/>
    </w:rPr>
  </w:style>
  <w:style w:type="paragraph" w:customStyle="1" w:styleId="102">
    <w:name w:val="Ä¿Â¼2"/>
    <w:basedOn w:val="1"/>
    <w:qFormat/>
    <w:uiPriority w:val="0"/>
    <w:pPr>
      <w:widowControl/>
      <w:overflowPunct w:val="0"/>
      <w:autoSpaceDE w:val="0"/>
      <w:autoSpaceDN w:val="0"/>
      <w:adjustRightInd w:val="0"/>
      <w:ind w:left="473" w:firstLine="200" w:firstLineChars="200"/>
      <w:jc w:val="left"/>
      <w:textAlignment w:val="baseline"/>
    </w:pPr>
    <w:rPr>
      <w:kern w:val="0"/>
    </w:rPr>
  </w:style>
  <w:style w:type="paragraph" w:customStyle="1" w:styleId="103">
    <w:name w:val="p17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104">
    <w:name w:val="Default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105">
    <w:name w:val="1.1.1"/>
    <w:basedOn w:val="5"/>
    <w:qFormat/>
    <w:uiPriority w:val="0"/>
    <w:pPr>
      <w:numPr>
        <w:ilvl w:val="0"/>
        <w:numId w:val="0"/>
      </w:numPr>
      <w:tabs>
        <w:tab w:val="left" w:pos="1440"/>
      </w:tabs>
      <w:ind w:left="720" w:hanging="1440"/>
    </w:pPr>
    <w:rPr>
      <w:b/>
    </w:rPr>
  </w:style>
  <w:style w:type="paragraph" w:customStyle="1" w:styleId="106">
    <w:name w:val="p0"/>
    <w:basedOn w:val="1"/>
    <w:qFormat/>
    <w:uiPriority w:val="0"/>
    <w:pPr>
      <w:widowControl/>
    </w:pPr>
    <w:rPr>
      <w:kern w:val="0"/>
      <w:szCs w:val="24"/>
    </w:rPr>
  </w:style>
  <w:style w:type="paragraph" w:customStyle="1" w:styleId="107">
    <w:name w:val="无间隔1"/>
    <w:qFormat/>
    <w:uiPriority w:val="1"/>
    <w:pPr>
      <w:overflowPunct w:val="0"/>
      <w:autoSpaceDE w:val="0"/>
      <w:autoSpaceDN w:val="0"/>
      <w:adjustRightInd w:val="0"/>
      <w:ind w:firstLine="200" w:firstLineChars="200"/>
      <w:jc w:val="both"/>
      <w:textAlignment w:val="baseline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customStyle="1" w:styleId="108">
    <w:name w:val="±íºÅ"/>
    <w:basedOn w:val="1"/>
    <w:qFormat/>
    <w:uiPriority w:val="0"/>
    <w:pPr>
      <w:widowControl/>
      <w:overflowPunct w:val="0"/>
      <w:autoSpaceDE w:val="0"/>
      <w:autoSpaceDN w:val="0"/>
      <w:adjustRightInd w:val="0"/>
      <w:spacing w:before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109">
    <w:name w:val="Ä¿Â¼1"/>
    <w:basedOn w:val="1"/>
    <w:qFormat/>
    <w:uiPriority w:val="0"/>
    <w:pPr>
      <w:keepNext/>
      <w:widowControl/>
      <w:overflowPunct w:val="0"/>
      <w:autoSpaceDE w:val="0"/>
      <w:autoSpaceDN w:val="0"/>
      <w:adjustRightInd w:val="0"/>
      <w:ind w:left="113" w:firstLine="200" w:firstLineChars="200"/>
      <w:jc w:val="left"/>
      <w:textAlignment w:val="baseline"/>
    </w:pPr>
    <w:rPr>
      <w:kern w:val="0"/>
    </w:rPr>
  </w:style>
  <w:style w:type="paragraph" w:customStyle="1" w:styleId="110">
    <w:name w:val="缺省文本"/>
    <w:basedOn w:val="1"/>
    <w:qFormat/>
    <w:uiPriority w:val="0"/>
    <w:pPr>
      <w:autoSpaceDE w:val="0"/>
      <w:autoSpaceDN w:val="0"/>
      <w:adjustRightInd w:val="0"/>
      <w:ind w:firstLine="200" w:firstLineChars="200"/>
      <w:jc w:val="left"/>
    </w:pPr>
    <w:rPr>
      <w:kern w:val="0"/>
      <w:szCs w:val="24"/>
    </w:rPr>
  </w:style>
  <w:style w:type="paragraph" w:customStyle="1" w:styleId="111">
    <w:name w:val="Table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112">
    <w:name w:val="关键词"/>
    <w:basedOn w:val="1"/>
    <w:qFormat/>
    <w:uiPriority w:val="0"/>
    <w:pPr>
      <w:spacing w:line="300" w:lineRule="auto"/>
      <w:ind w:firstLine="200" w:firstLineChars="200"/>
    </w:pPr>
    <w:rPr>
      <w:rFonts w:cs="宋体"/>
      <w:szCs w:val="24"/>
    </w:rPr>
  </w:style>
  <w:style w:type="paragraph" w:customStyle="1" w:styleId="113">
    <w:name w:val="Ä¿Â¼3"/>
    <w:basedOn w:val="1"/>
    <w:qFormat/>
    <w:uiPriority w:val="0"/>
    <w:pPr>
      <w:widowControl/>
      <w:overflowPunct w:val="0"/>
      <w:autoSpaceDE w:val="0"/>
      <w:autoSpaceDN w:val="0"/>
      <w:adjustRightInd w:val="0"/>
      <w:ind w:left="833" w:firstLine="200" w:firstLineChars="200"/>
      <w:jc w:val="left"/>
      <w:textAlignment w:val="baseline"/>
    </w:pPr>
    <w:rPr>
      <w:kern w:val="0"/>
    </w:rPr>
  </w:style>
  <w:style w:type="paragraph" w:customStyle="1" w:styleId="114">
    <w:name w:val="批注框文本1"/>
    <w:basedOn w:val="1"/>
    <w:semiHidden/>
    <w:qFormat/>
    <w:uiPriority w:val="0"/>
    <w:rPr>
      <w:sz w:val="18"/>
      <w:szCs w:val="18"/>
    </w:rPr>
  </w:style>
  <w:style w:type="paragraph" w:customStyle="1" w:styleId="115">
    <w:name w:val="ÐÞ¶©¼Ç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16">
    <w:name w:val="Ä¿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17">
    <w:name w:val="章标题(不加入目录内)"/>
    <w:basedOn w:val="35"/>
    <w:qFormat/>
    <w:uiPriority w:val="0"/>
    <w:pPr>
      <w:outlineLvl w:val="9"/>
    </w:pPr>
  </w:style>
  <w:style w:type="paragraph" w:customStyle="1" w:styleId="118">
    <w:name w:val="pic-info"/>
    <w:basedOn w:val="1"/>
    <w:qFormat/>
    <w:uiPriority w:val="0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customStyle="1" w:styleId="119">
    <w:name w:val="Char Char Char Char"/>
    <w:basedOn w:val="1"/>
    <w:qFormat/>
    <w:uiPriority w:val="0"/>
    <w:rPr>
      <w:rFonts w:ascii="Tahoma" w:hAnsi="Tahoma"/>
    </w:rPr>
  </w:style>
  <w:style w:type="paragraph" w:customStyle="1" w:styleId="120">
    <w:name w:val="Ä¿Â¼4"/>
    <w:basedOn w:val="1"/>
    <w:qFormat/>
    <w:uiPriority w:val="0"/>
    <w:pPr>
      <w:widowControl/>
      <w:overflowPunct w:val="0"/>
      <w:autoSpaceDE w:val="0"/>
      <w:autoSpaceDN w:val="0"/>
      <w:adjustRightInd w:val="0"/>
      <w:ind w:left="1193"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121">
    <w:name w:val="Char Char Char Char Char Char Char Char Char Char Char Char Char"/>
    <w:basedOn w:val="1"/>
    <w:qFormat/>
    <w:uiPriority w:val="0"/>
    <w:rPr>
      <w:sz w:val="21"/>
      <w:szCs w:val="24"/>
    </w:rPr>
  </w:style>
  <w:style w:type="paragraph" w:customStyle="1" w:styleId="122">
    <w:name w:val="毕业设计论文"/>
    <w:basedOn w:val="1"/>
    <w:qFormat/>
    <w:uiPriority w:val="0"/>
    <w:pPr>
      <w:ind w:firstLine="200" w:firstLineChars="200"/>
      <w:jc w:val="center"/>
    </w:pPr>
    <w:rPr>
      <w:rFonts w:eastAsia="华文新魏" w:cs="宋体"/>
      <w:b/>
      <w:sz w:val="72"/>
      <w:szCs w:val="72"/>
    </w:rPr>
  </w:style>
  <w:style w:type="paragraph" w:customStyle="1" w:styleId="123">
    <w:name w:val="p16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124">
    <w:name w:val="图"/>
    <w:basedOn w:val="1"/>
    <w:qFormat/>
    <w:uiPriority w:val="0"/>
    <w:pPr>
      <w:jc w:val="center"/>
    </w:pPr>
    <w:rPr>
      <w:sz w:val="21"/>
      <w:szCs w:val="24"/>
    </w:rPr>
  </w:style>
  <w:style w:type="paragraph" w:customStyle="1" w:styleId="125">
    <w:name w:val="·âÃæ±í¸ñ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center"/>
      <w:textAlignment w:val="baseline"/>
    </w:pPr>
    <w:rPr>
      <w:b/>
      <w:kern w:val="0"/>
    </w:rPr>
  </w:style>
  <w:style w:type="paragraph" w:customStyle="1" w:styleId="126">
    <w:name w:val="ÕªÒ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127">
    <w:name w:val="Ä¿Â¼Ò³±àºÅÎÄ±¾ÑùÊ½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right"/>
      <w:textAlignment w:val="baseline"/>
    </w:pPr>
    <w:rPr>
      <w:kern w:val="0"/>
    </w:rPr>
  </w:style>
  <w:style w:type="paragraph" w:customStyle="1" w:styleId="128">
    <w:name w:val="Í¼ºÅ"/>
    <w:basedOn w:val="1"/>
    <w:qFormat/>
    <w:uiPriority w:val="0"/>
    <w:pPr>
      <w:widowControl/>
      <w:overflowPunct w:val="0"/>
      <w:autoSpaceDE w:val="0"/>
      <w:autoSpaceDN w:val="0"/>
      <w:adjustRightInd w:val="0"/>
      <w:spacing w:after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129">
    <w:name w:val="ordinary-outpu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table" w:customStyle="1" w:styleId="130">
    <w:name w:val="浅色列表 - 强调文字颜色 11"/>
    <w:basedOn w:val="37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customStyle="1" w:styleId="131">
    <w:name w:val="中等深浅底纹 2 - 强调文字颜色 11"/>
    <w:basedOn w:val="40"/>
    <w:qFormat/>
    <w:uiPriority w:val="64"/>
    <w:tcPr>
      <w:shd w:val="clear" w:color="auto" w:fill="auto"/>
    </w:tc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cPr>
        <w:shd w:val="clear" w:color="auto" w:fill="D8D8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2">
    <w:name w:val="中等深浅网格 3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808080"/>
      </w:tcPr>
    </w:tblStylePr>
  </w:style>
  <w:style w:type="table" w:customStyle="1" w:styleId="133">
    <w:name w:val="浅色网格 - 强调文字颜色 11"/>
    <w:basedOn w:val="37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eastAsia="New York" w:cs="Times New Roman"/>
        <w:b/>
        <w:bCs/>
      </w:rPr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New York" w:cs="Times New Roman"/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New York" w:cs="Times New Roman"/>
        <w:b/>
        <w:bCs/>
      </w:rPr>
    </w:tblStylePr>
    <w:tblStylePr w:type="lastCol">
      <w:rPr>
        <w:rFonts w:eastAsia="New York" w:cs="Times New Roman"/>
        <w:b/>
        <w:bCs/>
      </w:r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paragraph" w:customStyle="1" w:styleId="134">
    <w:name w:val="正文1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customXml" Target="../customXml/item2.xml"/><Relationship Id="rId16" Type="http://schemas.openxmlformats.org/officeDocument/2006/relationships/numbering" Target="numbering.xml"/><Relationship Id="rId15" Type="http://schemas.openxmlformats.org/officeDocument/2006/relationships/customXml" Target="../customXml/item1.xml"/><Relationship Id="rId14" Type="http://schemas.openxmlformats.org/officeDocument/2006/relationships/image" Target="media/image6.png"/><Relationship Id="rId13" Type="http://schemas.openxmlformats.org/officeDocument/2006/relationships/image" Target="media/image5.jpeg"/><Relationship Id="rId12" Type="http://schemas.openxmlformats.org/officeDocument/2006/relationships/image" Target="media/image4.jpeg"/><Relationship Id="rId11" Type="http://schemas.openxmlformats.org/officeDocument/2006/relationships/image" Target="media/image3.jpeg"/><Relationship Id="rId10" Type="http://schemas.openxmlformats.org/officeDocument/2006/relationships/image" Target="media/image2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2052"/>
    <customShpInfo spid="_x0000_s205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BD5BBA7-461B-4B0E-8C90-4F5195BBEBD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</Template>
  <Company>hitwx</Company>
  <Pages>13</Pages>
  <Words>473</Words>
  <Characters>2702</Characters>
  <Lines>22</Lines>
  <Paragraphs>6</Paragraphs>
  <TotalTime>0</TotalTime>
  <ScaleCrop>false</ScaleCrop>
  <LinksUpToDate>false</LinksUpToDate>
  <CharactersWithSpaces>3169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2017-07-26T07:29:00Z</dcterms:created>
  <dc:creator>acer</dc:creator>
  <cp:lastModifiedBy>Admin</cp:lastModifiedBy>
  <cp:lastPrinted>2020-12-23T05:47:00Z</cp:lastPrinted>
  <dcterms:modified xsi:type="dcterms:W3CDTF">2021-01-25T08:46:48Z</dcterms:modified>
  <dc:title>哈尔滨工业大学硕士毕业论文模板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2052-11.1.0.10132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